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4B" w:rsidRPr="00130F4B" w:rsidRDefault="00130F4B" w:rsidP="00130F4B">
      <w:pPr>
        <w:spacing w:before="120"/>
        <w:rPr>
          <w:b/>
          <w:sz w:val="24"/>
          <w:szCs w:val="24"/>
        </w:rPr>
      </w:pPr>
      <w:bookmarkStart w:id="0" w:name="_GoBack"/>
      <w:bookmarkEnd w:id="0"/>
      <w:r w:rsidRPr="00130F4B">
        <w:rPr>
          <w:b/>
          <w:sz w:val="24"/>
          <w:szCs w:val="24"/>
        </w:rPr>
        <w:t>Committee on Economic, Social and Cultural Rights</w:t>
      </w:r>
    </w:p>
    <w:p w:rsidR="00C47C6C" w:rsidRPr="00C47C6C" w:rsidRDefault="00C47C6C" w:rsidP="00C47C6C">
      <w:pPr>
        <w:pStyle w:val="HChG"/>
        <w:rPr>
          <w:lang w:val="en-US"/>
        </w:rPr>
      </w:pPr>
      <w:r>
        <w:rPr>
          <w:lang w:val="en-US"/>
        </w:rPr>
        <w:tab/>
      </w:r>
      <w:r>
        <w:rPr>
          <w:lang w:val="en-US"/>
        </w:rPr>
        <w:tab/>
      </w:r>
      <w:r w:rsidR="00FF5C54">
        <w:rPr>
          <w:lang w:val="en-US"/>
        </w:rPr>
        <w:t>The Duties of States T</w:t>
      </w:r>
      <w:r w:rsidR="00F33995">
        <w:rPr>
          <w:lang w:val="en-US"/>
        </w:rPr>
        <w:t>owards R</w:t>
      </w:r>
      <w:r w:rsidRPr="00C47C6C">
        <w:rPr>
          <w:lang w:val="en-US"/>
        </w:rPr>
        <w:t xml:space="preserve">efugees and </w:t>
      </w:r>
      <w:r w:rsidR="00F33995">
        <w:rPr>
          <w:lang w:val="en-US"/>
        </w:rPr>
        <w:t>M</w:t>
      </w:r>
      <w:r w:rsidRPr="00C47C6C">
        <w:rPr>
          <w:lang w:val="en-US"/>
        </w:rPr>
        <w:t>igrants under the</w:t>
      </w:r>
      <w:r>
        <w:rPr>
          <w:lang w:val="en-US"/>
        </w:rPr>
        <w:t xml:space="preserve"> </w:t>
      </w:r>
      <w:r w:rsidR="00F33995">
        <w:rPr>
          <w:lang w:val="en-US"/>
        </w:rPr>
        <w:t>International Covenant on Economic, Social and Cultural R</w:t>
      </w:r>
      <w:r w:rsidRPr="00C47C6C">
        <w:rPr>
          <w:lang w:val="en-US"/>
        </w:rPr>
        <w:t>ights</w:t>
      </w:r>
    </w:p>
    <w:p w:rsidR="00130F4B" w:rsidRPr="00693289" w:rsidRDefault="00693289" w:rsidP="00693289">
      <w:pPr>
        <w:pStyle w:val="H1G"/>
        <w:ind w:firstLine="0"/>
      </w:pPr>
      <w:r w:rsidRPr="00130F4B">
        <w:t>Statement by the Committee on Economic, Social and Cultural Rights</w:t>
      </w:r>
      <w:r w:rsidRPr="00445661">
        <w:rPr>
          <w:sz w:val="18"/>
          <w:vertAlign w:val="superscript"/>
        </w:rPr>
        <w:footnoteReference w:customMarkFollows="1" w:id="1"/>
        <w:t>*</w:t>
      </w: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0F4B" w:rsidRPr="00130F4B" w:rsidTr="002A676B">
        <w:trPr>
          <w:cantSplit/>
          <w:trHeight w:hRule="exact" w:val="851"/>
        </w:trPr>
        <w:tc>
          <w:tcPr>
            <w:tcW w:w="1276" w:type="dxa"/>
            <w:tcBorders>
              <w:bottom w:val="single" w:sz="4" w:space="0" w:color="auto"/>
            </w:tcBorders>
            <w:vAlign w:val="bottom"/>
          </w:tcPr>
          <w:p w:rsidR="00130F4B" w:rsidRPr="00130F4B" w:rsidRDefault="00130F4B" w:rsidP="00130F4B">
            <w:pPr>
              <w:spacing w:after="80"/>
            </w:pPr>
          </w:p>
        </w:tc>
        <w:tc>
          <w:tcPr>
            <w:tcW w:w="2268" w:type="dxa"/>
            <w:tcBorders>
              <w:bottom w:val="single" w:sz="4" w:space="0" w:color="auto"/>
            </w:tcBorders>
            <w:vAlign w:val="bottom"/>
          </w:tcPr>
          <w:p w:rsidR="00130F4B" w:rsidRPr="00130F4B" w:rsidRDefault="00130F4B" w:rsidP="00130F4B">
            <w:pPr>
              <w:spacing w:after="80" w:line="300" w:lineRule="exact"/>
              <w:rPr>
                <w:b/>
                <w:sz w:val="24"/>
                <w:szCs w:val="24"/>
              </w:rPr>
            </w:pPr>
          </w:p>
        </w:tc>
        <w:tc>
          <w:tcPr>
            <w:tcW w:w="6095" w:type="dxa"/>
            <w:gridSpan w:val="2"/>
            <w:tcBorders>
              <w:bottom w:val="single" w:sz="4" w:space="0" w:color="auto"/>
            </w:tcBorders>
            <w:vAlign w:val="bottom"/>
          </w:tcPr>
          <w:p w:rsidR="00130F4B" w:rsidRPr="00130F4B" w:rsidRDefault="00130F4B" w:rsidP="001D413B">
            <w:pPr>
              <w:jc w:val="right"/>
            </w:pPr>
            <w:r w:rsidRPr="00130F4B">
              <w:rPr>
                <w:sz w:val="40"/>
              </w:rPr>
              <w:t>E</w:t>
            </w:r>
            <w:r w:rsidRPr="00130F4B">
              <w:t>/C.12/201</w:t>
            </w:r>
            <w:r w:rsidR="001D413B">
              <w:t>7</w:t>
            </w:r>
            <w:r w:rsidRPr="00130F4B">
              <w:t>/</w:t>
            </w:r>
            <w:r w:rsidR="001D413B">
              <w:t>1</w:t>
            </w:r>
          </w:p>
        </w:tc>
      </w:tr>
      <w:tr w:rsidR="00130F4B" w:rsidRPr="00130F4B" w:rsidTr="002A676B">
        <w:trPr>
          <w:cantSplit/>
          <w:trHeight w:hRule="exact" w:val="2835"/>
        </w:trPr>
        <w:tc>
          <w:tcPr>
            <w:tcW w:w="1276" w:type="dxa"/>
            <w:tcBorders>
              <w:top w:val="single" w:sz="4" w:space="0" w:color="auto"/>
              <w:bottom w:val="single" w:sz="12" w:space="0" w:color="auto"/>
            </w:tcBorders>
          </w:tcPr>
          <w:p w:rsidR="00130F4B" w:rsidRPr="00130F4B" w:rsidRDefault="00130F4B" w:rsidP="00130F4B">
            <w:pPr>
              <w:spacing w:before="120"/>
            </w:pPr>
          </w:p>
        </w:tc>
        <w:tc>
          <w:tcPr>
            <w:tcW w:w="5528" w:type="dxa"/>
            <w:gridSpan w:val="2"/>
            <w:tcBorders>
              <w:top w:val="single" w:sz="4" w:space="0" w:color="auto"/>
              <w:bottom w:val="single" w:sz="12" w:space="0" w:color="auto"/>
            </w:tcBorders>
          </w:tcPr>
          <w:p w:rsidR="00130F4B" w:rsidRPr="00130F4B" w:rsidRDefault="00FF59D6" w:rsidP="00130F4B">
            <w:pPr>
              <w:spacing w:before="120" w:line="420" w:lineRule="exact"/>
              <w:rPr>
                <w:sz w:val="40"/>
                <w:szCs w:val="40"/>
              </w:rPr>
            </w:pPr>
            <w:r>
              <w:rPr>
                <w:b/>
                <w:sz w:val="40"/>
                <w:szCs w:val="40"/>
              </w:rPr>
              <w:t>Advance Unedited Version</w:t>
            </w:r>
          </w:p>
        </w:tc>
        <w:tc>
          <w:tcPr>
            <w:tcW w:w="2835" w:type="dxa"/>
            <w:tcBorders>
              <w:top w:val="single" w:sz="4" w:space="0" w:color="auto"/>
              <w:bottom w:val="single" w:sz="12" w:space="0" w:color="auto"/>
            </w:tcBorders>
          </w:tcPr>
          <w:p w:rsidR="00130F4B" w:rsidRPr="00130F4B" w:rsidRDefault="00130F4B" w:rsidP="00130F4B">
            <w:pPr>
              <w:spacing w:before="240" w:line="240" w:lineRule="exact"/>
            </w:pPr>
            <w:r w:rsidRPr="00130F4B">
              <w:t>Distr.: General</w:t>
            </w:r>
          </w:p>
          <w:p w:rsidR="00130F4B" w:rsidRPr="00130F4B" w:rsidRDefault="001D413B" w:rsidP="00130F4B">
            <w:pPr>
              <w:spacing w:line="240" w:lineRule="exact"/>
            </w:pPr>
            <w:r>
              <w:t>24 February 2017</w:t>
            </w:r>
          </w:p>
          <w:p w:rsidR="00130F4B" w:rsidRPr="00130F4B" w:rsidRDefault="00130F4B" w:rsidP="00130F4B">
            <w:pPr>
              <w:spacing w:line="240" w:lineRule="exact"/>
            </w:pPr>
          </w:p>
          <w:p w:rsidR="00130F4B" w:rsidRPr="009A46B4" w:rsidRDefault="00130F4B" w:rsidP="00693289">
            <w:r w:rsidRPr="00130F4B">
              <w:t>Original: English</w:t>
            </w:r>
          </w:p>
        </w:tc>
      </w:tr>
    </w:tbl>
    <w:p w:rsidR="00C47C6C" w:rsidRPr="00C47C6C" w:rsidRDefault="00C47C6C" w:rsidP="00C47C6C">
      <w:pPr>
        <w:pStyle w:val="H1G"/>
        <w:rPr>
          <w:rFonts w:eastAsia="MS Mincho"/>
          <w:noProof/>
          <w:lang w:val="en-US" w:eastAsia="fr-FR"/>
        </w:rPr>
      </w:pPr>
      <w:r>
        <w:rPr>
          <w:rFonts w:eastAsia="MS Mincho"/>
          <w:noProof/>
          <w:lang w:val="en-US" w:eastAsia="fr-FR"/>
        </w:rPr>
        <w:tab/>
      </w:r>
      <w:r w:rsidRPr="00C47C6C">
        <w:rPr>
          <w:rFonts w:eastAsia="MS Mincho"/>
          <w:noProof/>
          <w:lang w:val="en-US" w:eastAsia="fr-FR"/>
        </w:rPr>
        <w:t>I.</w:t>
      </w:r>
      <w:r>
        <w:rPr>
          <w:rFonts w:eastAsia="MS Mincho"/>
          <w:noProof/>
          <w:lang w:val="en-US" w:eastAsia="fr-FR"/>
        </w:rPr>
        <w:tab/>
      </w:r>
      <w:r w:rsidRPr="00C47C6C">
        <w:rPr>
          <w:rFonts w:eastAsia="MS Mincho"/>
          <w:noProof/>
          <w:lang w:val="en-US" w:eastAsia="fr-FR"/>
        </w:rPr>
        <w:t>Introduction</w:t>
      </w:r>
    </w:p>
    <w:p w:rsidR="00C47C6C" w:rsidRPr="00C47C6C" w:rsidRDefault="00C47C6C" w:rsidP="00C47C6C">
      <w:pPr>
        <w:pStyle w:val="SingleTxtG"/>
        <w:numPr>
          <w:ilvl w:val="0"/>
          <w:numId w:val="11"/>
        </w:numPr>
        <w:ind w:left="1134" w:firstLine="0"/>
        <w:rPr>
          <w:noProof/>
          <w:sz w:val="22"/>
          <w:szCs w:val="22"/>
          <w:lang w:val="en-US"/>
        </w:rPr>
      </w:pPr>
      <w:r w:rsidRPr="00C47C6C">
        <w:rPr>
          <w:noProof/>
          <w:sz w:val="22"/>
          <w:szCs w:val="22"/>
          <w:lang w:val="en-US"/>
        </w:rPr>
        <w:t>In the New York Declaration for Refugees and Migrants adopted on 19 September 2016 following the high-level plenary meeting of the General Assembly on addressing large movements of refugees and migrants, the Heads of State and Government and High Representatives reaffirmed the human rights of all refugees and migrants, regardless of status, and they pledged to fully protect such rights.</w:t>
      </w:r>
      <w:r w:rsidRPr="00C47C6C">
        <w:rPr>
          <w:b/>
          <w:noProof/>
          <w:sz w:val="22"/>
          <w:szCs w:val="22"/>
          <w:vertAlign w:val="superscript"/>
          <w:lang w:val="en-US"/>
        </w:rPr>
        <w:footnoteReference w:id="2"/>
      </w:r>
      <w:r w:rsidRPr="00C47C6C">
        <w:rPr>
          <w:noProof/>
          <w:sz w:val="22"/>
          <w:szCs w:val="22"/>
          <w:lang w:val="en-US"/>
        </w:rPr>
        <w:t xml:space="preserve"> They recalled that "[t]hough their treatment is governed by separate legal frameworks, refugees and migrants have the same universal human rights and fundamental freedoms".</w:t>
      </w:r>
      <w:r w:rsidRPr="00C47C6C">
        <w:rPr>
          <w:b/>
          <w:noProof/>
          <w:sz w:val="22"/>
          <w:szCs w:val="22"/>
          <w:vertAlign w:val="superscript"/>
          <w:lang w:val="en-US"/>
        </w:rPr>
        <w:footnoteReference w:id="3"/>
      </w:r>
      <w:r w:rsidRPr="00C47C6C">
        <w:rPr>
          <w:noProof/>
          <w:sz w:val="22"/>
          <w:szCs w:val="22"/>
          <w:lang w:val="en-US"/>
        </w:rPr>
        <w:t xml:space="preserve"> The Heads of State and Government and High Representatives pledged to move towards the adoption in 2018 of a global compact on refugees and a global compact for safe, orderly and regular migration.</w:t>
      </w:r>
    </w:p>
    <w:p w:rsidR="00C47C6C" w:rsidRPr="00C47C6C" w:rsidRDefault="00C47C6C" w:rsidP="00C47C6C">
      <w:pPr>
        <w:pStyle w:val="SingleTxtG"/>
        <w:numPr>
          <w:ilvl w:val="0"/>
          <w:numId w:val="11"/>
        </w:numPr>
        <w:ind w:left="1134" w:firstLine="0"/>
        <w:rPr>
          <w:rFonts w:eastAsia="MS Mincho"/>
          <w:noProof/>
          <w:sz w:val="22"/>
          <w:szCs w:val="22"/>
          <w:lang w:val="en-US" w:eastAsia="fr-FR"/>
        </w:rPr>
      </w:pPr>
      <w:r w:rsidRPr="00C47C6C">
        <w:rPr>
          <w:rFonts w:eastAsia="MS Mincho"/>
          <w:noProof/>
          <w:sz w:val="22"/>
          <w:szCs w:val="22"/>
          <w:lang w:val="en-US" w:eastAsia="fr-FR"/>
        </w:rPr>
        <w:t xml:space="preserve">As the international community is considering how to address the situation of people fleeing conflict and persecution from war-ridden countries and how to answer the challenges raised by migration flows, questions arise as to the range of economic, social and cultural rights to which the people concerned should be entitled in the countries through which they transit or in which they seek a safe haven and settle. Against this background, the Committee on Economic, Social and Cultural Rights wishes to recall the guarantees provided by the International Covenant on Economic, Social and Cultural Rights. </w:t>
      </w:r>
    </w:p>
    <w:p w:rsidR="00C47C6C" w:rsidRPr="00C47C6C" w:rsidRDefault="00C47C6C" w:rsidP="00C47C6C">
      <w:pPr>
        <w:pStyle w:val="H1G"/>
        <w:rPr>
          <w:rFonts w:eastAsia="MS Mincho"/>
          <w:noProof/>
          <w:lang w:val="en-US" w:eastAsia="fr-FR"/>
        </w:rPr>
      </w:pPr>
      <w:r>
        <w:rPr>
          <w:rFonts w:eastAsia="MS Mincho"/>
          <w:noProof/>
          <w:lang w:val="en-US" w:eastAsia="fr-FR"/>
        </w:rPr>
        <w:lastRenderedPageBreak/>
        <w:tab/>
      </w:r>
      <w:r w:rsidRPr="00C47C6C">
        <w:rPr>
          <w:rFonts w:eastAsia="MS Mincho"/>
          <w:noProof/>
          <w:lang w:val="en-US" w:eastAsia="fr-FR"/>
        </w:rPr>
        <w:t>II.</w:t>
      </w:r>
      <w:r>
        <w:rPr>
          <w:rFonts w:eastAsia="MS Mincho"/>
          <w:noProof/>
          <w:lang w:val="en-US" w:eastAsia="fr-FR"/>
        </w:rPr>
        <w:tab/>
      </w:r>
      <w:r w:rsidRPr="00C47C6C">
        <w:rPr>
          <w:rFonts w:eastAsia="MS Mincho"/>
          <w:noProof/>
          <w:lang w:val="en-US" w:eastAsia="fr-FR"/>
        </w:rPr>
        <w:t>The reception of refugees and migrants: immediate obligations under the Covenant</w:t>
      </w:r>
    </w:p>
    <w:p w:rsidR="00C47C6C" w:rsidRPr="00C47C6C" w:rsidRDefault="00C47C6C" w:rsidP="00C47C6C">
      <w:pPr>
        <w:pStyle w:val="SingleTxtG"/>
        <w:numPr>
          <w:ilvl w:val="0"/>
          <w:numId w:val="11"/>
        </w:numPr>
        <w:ind w:left="1134" w:firstLine="0"/>
        <w:rPr>
          <w:rFonts w:eastAsia="MS Mincho"/>
          <w:sz w:val="22"/>
          <w:szCs w:val="22"/>
          <w:lang w:eastAsia="ja-JP"/>
        </w:rPr>
      </w:pPr>
      <w:r w:rsidRPr="00C47C6C">
        <w:rPr>
          <w:rFonts w:eastAsia="MS Mincho"/>
          <w:sz w:val="22"/>
          <w:szCs w:val="22"/>
          <w:lang w:eastAsia="ja-JP"/>
        </w:rPr>
        <w:t>All people under the jurisdiction of the State concerned should enjoy the Covenant rights: this includes asylum-seekers and refugees, as well as other migrants, even when their situation in the country is irregular. As regards refugees, the 1951 Geneva Convention relating to the Status of Refugees and the 1967 New York Protocol</w:t>
      </w:r>
      <w:r w:rsidRPr="00C47C6C">
        <w:rPr>
          <w:rFonts w:eastAsia="MS Mincho"/>
          <w:b/>
          <w:noProof/>
          <w:sz w:val="22"/>
          <w:szCs w:val="22"/>
          <w:vertAlign w:val="superscript"/>
          <w:lang w:eastAsia="fr-FR"/>
        </w:rPr>
        <w:footnoteReference w:id="4"/>
      </w:r>
      <w:r w:rsidRPr="00C47C6C">
        <w:rPr>
          <w:rFonts w:eastAsia="MS Mincho"/>
          <w:sz w:val="22"/>
          <w:szCs w:val="22"/>
          <w:lang w:eastAsia="ja-JP"/>
        </w:rPr>
        <w:t xml:space="preserve"> address a number of prescriptions to its Contracting Parties with respect to the economic, social and cultural rights of refugees. However, those prescriptions leave in practice a broad margin of appreciation to States. The Covenant should be seen as complementing the Geneva Convention.</w:t>
      </w:r>
    </w:p>
    <w:p w:rsidR="00C47C6C" w:rsidRPr="00C47C6C" w:rsidRDefault="00C47C6C" w:rsidP="00C47C6C">
      <w:pPr>
        <w:pStyle w:val="SingleTxtG"/>
        <w:numPr>
          <w:ilvl w:val="0"/>
          <w:numId w:val="11"/>
        </w:numPr>
        <w:ind w:left="1134" w:firstLine="0"/>
        <w:rPr>
          <w:rFonts w:eastAsia="MS Mincho"/>
          <w:sz w:val="22"/>
          <w:szCs w:val="22"/>
          <w:lang w:eastAsia="ja-JP"/>
        </w:rPr>
      </w:pPr>
      <w:r w:rsidRPr="00C47C6C">
        <w:rPr>
          <w:rFonts w:eastAsia="MS Mincho"/>
          <w:sz w:val="22"/>
          <w:szCs w:val="22"/>
          <w:lang w:eastAsia="ja-JP"/>
        </w:rPr>
        <w:t xml:space="preserve">The Covenant makes clear that the rights it recognizes can only be progressively realized, to the maximum available resources of each State party (art. 2, para. </w:t>
      </w:r>
      <w:r w:rsidRPr="00C47C6C">
        <w:rPr>
          <w:rFonts w:eastAsia="MS Mincho"/>
          <w:sz w:val="22"/>
          <w:szCs w:val="22"/>
          <w:lang w:val="fr-FR" w:eastAsia="ja-JP"/>
        </w:rPr>
        <w:t xml:space="preserve">1). </w:t>
      </w:r>
      <w:r w:rsidRPr="00C47C6C">
        <w:rPr>
          <w:rFonts w:eastAsia="MS Mincho"/>
          <w:sz w:val="22"/>
          <w:szCs w:val="22"/>
          <w:lang w:eastAsia="ja-JP"/>
        </w:rPr>
        <w:t xml:space="preserve">However, this does not mean that States parties may infinitely postpone taking action in order to secure the rights of individuals under their jurisdiction. Moreover, the Covenant imposes a number of obligations of immediate effect. Such obligations apply even for the benefit of individuals who are part of a large group of refugees or migrants suddenly falling under the concerned States' jurisdiction. </w:t>
      </w:r>
    </w:p>
    <w:p w:rsidR="00C47C6C" w:rsidRPr="00C47C6C" w:rsidRDefault="00C47C6C" w:rsidP="00C47C6C">
      <w:pPr>
        <w:pStyle w:val="H23G"/>
        <w:ind w:firstLine="0"/>
        <w:rPr>
          <w:rFonts w:eastAsia="MS Mincho"/>
          <w:noProof/>
          <w:lang w:val="en-US" w:eastAsia="fr-FR"/>
        </w:rPr>
      </w:pPr>
      <w:r w:rsidRPr="00C47C6C">
        <w:rPr>
          <w:rFonts w:eastAsia="MS Mincho"/>
          <w:noProof/>
          <w:lang w:val="en-US" w:eastAsia="fr-FR"/>
        </w:rPr>
        <w:t>1.</w:t>
      </w:r>
      <w:r>
        <w:rPr>
          <w:rFonts w:eastAsia="MS Mincho"/>
          <w:noProof/>
          <w:lang w:val="en-US" w:eastAsia="fr-FR"/>
        </w:rPr>
        <w:tab/>
      </w:r>
      <w:r w:rsidRPr="00C47C6C">
        <w:rPr>
          <w:rFonts w:eastAsia="MS Mincho"/>
          <w:noProof/>
          <w:lang w:val="en-US" w:eastAsia="fr-FR"/>
        </w:rPr>
        <w:t>The prohibition of discrimination on grounds of nationality or legal status</w:t>
      </w:r>
    </w:p>
    <w:p w:rsidR="00C47C6C" w:rsidRPr="00C47C6C" w:rsidRDefault="00C47C6C" w:rsidP="00C47C6C">
      <w:pPr>
        <w:pStyle w:val="SingleTxtG"/>
        <w:numPr>
          <w:ilvl w:val="0"/>
          <w:numId w:val="11"/>
        </w:numPr>
        <w:ind w:left="1134" w:firstLine="0"/>
        <w:rPr>
          <w:rFonts w:eastAsia="MS Mincho"/>
          <w:sz w:val="22"/>
          <w:szCs w:val="22"/>
          <w:lang w:eastAsia="ja-JP"/>
        </w:rPr>
      </w:pPr>
      <w:r w:rsidRPr="00C47C6C">
        <w:rPr>
          <w:rFonts w:eastAsia="MS Mincho"/>
          <w:noProof/>
          <w:sz w:val="22"/>
          <w:szCs w:val="22"/>
          <w:lang w:val="en-US" w:eastAsia="fr-FR"/>
        </w:rPr>
        <w:t xml:space="preserve">Under the Covenant, </w:t>
      </w:r>
      <w:r w:rsidRPr="00C47C6C">
        <w:rPr>
          <w:rFonts w:eastAsia="MS Mincho"/>
          <w:sz w:val="22"/>
          <w:szCs w:val="22"/>
          <w:lang w:eastAsia="ja-JP"/>
        </w:rPr>
        <w:t>the requirement to guarantee all rights without discrimination imposes an immediate obligation on the States parties.</w:t>
      </w:r>
      <w:r w:rsidRPr="00C47C6C">
        <w:rPr>
          <w:rFonts w:eastAsia="MS Mincho"/>
          <w:b/>
          <w:sz w:val="22"/>
          <w:szCs w:val="22"/>
          <w:vertAlign w:val="superscript"/>
          <w:lang w:val="fr-FR" w:eastAsia="ja-JP"/>
        </w:rPr>
        <w:footnoteReference w:id="5"/>
      </w:r>
      <w:r w:rsidRPr="00C47C6C">
        <w:rPr>
          <w:rFonts w:eastAsia="MS Mincho"/>
          <w:sz w:val="22"/>
          <w:szCs w:val="22"/>
          <w:lang w:eastAsia="ja-JP"/>
        </w:rPr>
        <w:t xml:space="preserve">  Each State is left a certain margin of appreciation to decide which measures it should adopt to progressively realize the rights of the Covenant provided such steps are </w:t>
      </w:r>
      <w:r w:rsidRPr="00C47C6C">
        <w:rPr>
          <w:rFonts w:eastAsia="MS Mincho"/>
          <w:noProof/>
          <w:sz w:val="22"/>
          <w:szCs w:val="22"/>
          <w:lang w:val="en-US" w:eastAsia="fr-FR"/>
        </w:rPr>
        <w:t>deliberate, concrete and targeted as clearly as possible towards meeting the obligations recognized in the Covenant</w:t>
      </w:r>
      <w:r w:rsidRPr="00C47C6C">
        <w:rPr>
          <w:rFonts w:eastAsia="MS Mincho"/>
          <w:sz w:val="22"/>
          <w:szCs w:val="22"/>
          <w:lang w:eastAsia="ja-JP"/>
        </w:rPr>
        <w:t>.</w:t>
      </w:r>
      <w:r w:rsidRPr="00C47C6C">
        <w:rPr>
          <w:rFonts w:eastAsia="MS Mincho"/>
          <w:b/>
          <w:sz w:val="22"/>
          <w:szCs w:val="22"/>
          <w:vertAlign w:val="superscript"/>
          <w:lang w:val="fr-FR" w:eastAsia="ja-JP"/>
        </w:rPr>
        <w:footnoteReference w:id="6"/>
      </w:r>
      <w:r w:rsidRPr="00C47C6C">
        <w:rPr>
          <w:rFonts w:eastAsia="MS Mincho"/>
          <w:sz w:val="22"/>
          <w:szCs w:val="22"/>
          <w:lang w:eastAsia="ja-JP"/>
        </w:rPr>
        <w:t xml:space="preserve"> Whatever measures it does adopt should however not lead to </w:t>
      </w:r>
      <w:r w:rsidRPr="00C47C6C">
        <w:rPr>
          <w:rFonts w:eastAsia="MS Mincho"/>
          <w:noProof/>
          <w:sz w:val="22"/>
          <w:szCs w:val="22"/>
          <w:lang w:val="en-US" w:eastAsia="fr-FR"/>
        </w:rPr>
        <w:t xml:space="preserve">discrimination. Any distinction, exclusion, restriction or preference or other differential treatment on grounds of nationality or legal status should therefore be in accordance with the law, pursue a legitimate aim, and remain proportionate to the aim pursued. A difference in treatment that does not satisfy such conditions should be seen as unlawful discrimination prohibited under article 2, para. 2 of the Covenant. In addition, article 3 of the Covenant imposes </w:t>
      </w:r>
      <w:r w:rsidRPr="00C47C6C">
        <w:rPr>
          <w:noProof/>
          <w:sz w:val="22"/>
          <w:szCs w:val="22"/>
          <w:lang w:val="en-US" w:eastAsia="fr-FR"/>
        </w:rPr>
        <w:t xml:space="preserve">on States parties to ensure the equal right of men and women to the enjoyment of the Covenant rights. </w:t>
      </w:r>
      <w:r w:rsidRPr="00C47C6C">
        <w:rPr>
          <w:rFonts w:eastAsia="MS Mincho"/>
          <w:noProof/>
          <w:sz w:val="22"/>
          <w:szCs w:val="22"/>
          <w:lang w:val="en-US" w:eastAsia="fr-FR"/>
        </w:rPr>
        <w:t xml:space="preserve">In accordance with </w:t>
      </w:r>
      <w:r w:rsidRPr="00C47C6C">
        <w:rPr>
          <w:rFonts w:eastAsia="MS Mincho"/>
          <w:sz w:val="22"/>
          <w:szCs w:val="22"/>
          <w:lang w:eastAsia="ja-JP"/>
        </w:rPr>
        <w:t>general comment No. 20 (2009), a lack of available resources cannot be considered as an objective and reasonable justification for difference in treatment "unless every effort has been made to use all resources that are at the State party’s disposition in an effort to address and eliminate the discrimination, as a matter of priority".</w:t>
      </w:r>
      <w:r w:rsidRPr="00C47C6C">
        <w:rPr>
          <w:rFonts w:eastAsia="MS Mincho"/>
          <w:b/>
          <w:sz w:val="22"/>
          <w:szCs w:val="22"/>
          <w:vertAlign w:val="superscript"/>
          <w:lang w:val="fr-FR" w:eastAsia="ja-JP"/>
        </w:rPr>
        <w:footnoteReference w:id="7"/>
      </w:r>
      <w:r w:rsidRPr="00C47C6C">
        <w:rPr>
          <w:rFonts w:eastAsia="MS Mincho"/>
          <w:sz w:val="22"/>
          <w:szCs w:val="22"/>
          <w:lang w:eastAsia="ja-JP"/>
        </w:rPr>
        <w:t xml:space="preserve"> </w:t>
      </w:r>
    </w:p>
    <w:p w:rsidR="00C47C6C" w:rsidRPr="00C47C6C" w:rsidRDefault="00C47C6C" w:rsidP="00C47C6C">
      <w:pPr>
        <w:pStyle w:val="SingleTxtG"/>
        <w:numPr>
          <w:ilvl w:val="0"/>
          <w:numId w:val="11"/>
        </w:numPr>
        <w:ind w:left="1134" w:firstLine="0"/>
        <w:rPr>
          <w:rFonts w:eastAsia="MS Mincho"/>
          <w:sz w:val="22"/>
          <w:szCs w:val="22"/>
          <w:lang w:eastAsia="ja-JP"/>
        </w:rPr>
      </w:pPr>
      <w:r w:rsidRPr="00C47C6C">
        <w:rPr>
          <w:rFonts w:eastAsia="MS Mincho"/>
          <w:sz w:val="22"/>
          <w:szCs w:val="22"/>
          <w:lang w:eastAsia="ja-JP"/>
        </w:rPr>
        <w:lastRenderedPageBreak/>
        <w:t>The Committee has made it clear that protection from discrimination cannot be made conditional upon having a regular status in the host country. It emphasized, for instance, that since "[t]</w:t>
      </w:r>
      <w:r w:rsidRPr="00C47C6C">
        <w:rPr>
          <w:rFonts w:eastAsia="MS Mincho"/>
          <w:noProof/>
          <w:sz w:val="22"/>
          <w:szCs w:val="22"/>
          <w:lang w:val="en-US" w:eastAsia="fr-FR"/>
        </w:rPr>
        <w:t>he ground of nationality should not bar access to Covenant rights",  "all children within a State, including those with an undocumented status, have a right to receive education and access to adequate food and affordable health care",</w:t>
      </w:r>
      <w:r w:rsidRPr="00C47C6C">
        <w:rPr>
          <w:rFonts w:eastAsia="MS Mincho"/>
          <w:b/>
          <w:noProof/>
          <w:sz w:val="22"/>
          <w:szCs w:val="22"/>
          <w:vertAlign w:val="superscript"/>
          <w:lang w:val="en-US" w:eastAsia="fr-FR"/>
        </w:rPr>
        <w:footnoteReference w:id="8"/>
      </w:r>
      <w:r w:rsidRPr="00C47C6C">
        <w:rPr>
          <w:rFonts w:eastAsia="MS Mincho"/>
          <w:noProof/>
          <w:sz w:val="22"/>
          <w:szCs w:val="22"/>
          <w:lang w:val="en-US" w:eastAsia="fr-FR"/>
        </w:rPr>
        <w:t xml:space="preserve"> and that (in addition to the right to self-employment which is guaranteed to all refugees under the 1951 Geneva Convention relating to the Status of Refugees) </w:t>
      </w:r>
      <w:r w:rsidRPr="00C47C6C">
        <w:rPr>
          <w:rFonts w:eastAsia="MS Mincho"/>
          <w:color w:val="000000"/>
          <w:sz w:val="22"/>
          <w:szCs w:val="22"/>
          <w:lang w:eastAsia="ja-JP"/>
        </w:rPr>
        <w:t>any difference in treatment in access to employment would require justification in accordance with the criteria set out in the preceding paragraph.</w:t>
      </w:r>
      <w:r w:rsidRPr="00C47C6C">
        <w:rPr>
          <w:rFonts w:eastAsia="MS Mincho"/>
          <w:b/>
          <w:color w:val="000000"/>
          <w:sz w:val="22"/>
          <w:szCs w:val="22"/>
          <w:vertAlign w:val="superscript"/>
          <w:lang w:val="fr-FR" w:eastAsia="ja-JP"/>
        </w:rPr>
        <w:footnoteReference w:id="9"/>
      </w:r>
      <w:r w:rsidRPr="00C47C6C">
        <w:rPr>
          <w:rFonts w:eastAsia="MS Mincho"/>
          <w:color w:val="000000"/>
          <w:sz w:val="22"/>
          <w:szCs w:val="22"/>
          <w:lang w:eastAsia="ja-JP"/>
        </w:rPr>
        <w:t xml:space="preserve"> The Committee notes in this regard that access to education and access to employment are important channels for integration within the host country, and will reduce the dependency of refugees or migrants on publ</w:t>
      </w:r>
      <w:r>
        <w:rPr>
          <w:rFonts w:eastAsia="MS Mincho"/>
          <w:color w:val="000000"/>
          <w:sz w:val="22"/>
          <w:szCs w:val="22"/>
          <w:lang w:eastAsia="ja-JP"/>
        </w:rPr>
        <w:t>ic support or private charity.</w:t>
      </w:r>
    </w:p>
    <w:p w:rsidR="00C47C6C" w:rsidRPr="00C47C6C" w:rsidRDefault="00C47C6C" w:rsidP="00C47C6C">
      <w:pPr>
        <w:pStyle w:val="SingleTxtG"/>
        <w:numPr>
          <w:ilvl w:val="0"/>
          <w:numId w:val="11"/>
        </w:numPr>
        <w:ind w:left="1134" w:firstLine="0"/>
        <w:rPr>
          <w:rFonts w:eastAsia="MS Mincho"/>
          <w:sz w:val="22"/>
          <w:szCs w:val="22"/>
          <w:lang w:eastAsia="ja-JP"/>
        </w:rPr>
      </w:pPr>
      <w:r w:rsidRPr="00C47C6C">
        <w:rPr>
          <w:rFonts w:eastAsia="MS Mincho"/>
          <w:sz w:val="22"/>
          <w:szCs w:val="22"/>
          <w:lang w:eastAsia="ja-JP"/>
        </w:rPr>
        <w:t>Consistent with the requirement of non-discrimination, States parties should pay specific attention to the practical obstacles that certain groups of the population may encounter in the enjoyment of their rights under the Covenant. Due to their precarious situation, asylum-seekers and undocumented migrants are at particular risk of facing discrimination in the enjoyment of Covenant rights.</w:t>
      </w:r>
      <w:r w:rsidRPr="00C47C6C">
        <w:rPr>
          <w:rFonts w:eastAsia="MS Mincho"/>
          <w:b/>
          <w:sz w:val="22"/>
          <w:szCs w:val="22"/>
          <w:vertAlign w:val="superscript"/>
          <w:lang w:val="fr-FR" w:eastAsia="ja-JP"/>
        </w:rPr>
        <w:footnoteReference w:id="10"/>
      </w:r>
      <w:r w:rsidRPr="00C47C6C">
        <w:rPr>
          <w:rFonts w:eastAsia="MS Mincho"/>
          <w:sz w:val="22"/>
          <w:szCs w:val="22"/>
          <w:lang w:eastAsia="ja-JP"/>
        </w:rPr>
        <w:t xml:space="preserve"> </w:t>
      </w:r>
    </w:p>
    <w:p w:rsidR="00C47C6C" w:rsidRPr="00C47C6C" w:rsidRDefault="00C47C6C" w:rsidP="00C47C6C">
      <w:pPr>
        <w:pStyle w:val="SingleTxtG"/>
        <w:numPr>
          <w:ilvl w:val="0"/>
          <w:numId w:val="11"/>
        </w:numPr>
        <w:ind w:left="1134" w:firstLine="0"/>
        <w:rPr>
          <w:rFonts w:eastAsia="MS Mincho"/>
          <w:sz w:val="22"/>
          <w:szCs w:val="22"/>
          <w:lang w:eastAsia="ja-JP"/>
        </w:rPr>
      </w:pPr>
      <w:r w:rsidRPr="00C47C6C">
        <w:rPr>
          <w:rFonts w:eastAsia="MS Mincho"/>
          <w:noProof/>
          <w:sz w:val="22"/>
          <w:szCs w:val="22"/>
          <w:lang w:val="en-US" w:eastAsia="fr-FR"/>
        </w:rPr>
        <w:t>Article 2(3) of the Covenant establishes one limited exception to the principle of non-discrimination on grounds of nationality in the enjoyment of the rights of the Covenant. This provision states that: "</w:t>
      </w:r>
      <w:r w:rsidRPr="00C47C6C">
        <w:rPr>
          <w:rFonts w:eastAsia="MS Mincho"/>
          <w:sz w:val="22"/>
          <w:szCs w:val="22"/>
          <w:lang w:eastAsia="ja-JP"/>
        </w:rPr>
        <w:t xml:space="preserve">Developing countries, with due regard to human rights and their national economy, may determine to what extent they would guarantee the economic rights recognized in the present Covenant to non-nationals." This exception only applies to developing countries, and it only concerns "economic rights", in particular access to employment. It allows these States to determine the extent to which they will guarantee such rights, without allowing them to deny the enjoyment of such rights entirely. While acknowledging the concerns related to the protection of nationals' access to employment, the Committee would note, however, that a migrant who has access to employment or to self-employment generally will contribute to the domestic economy (whereas he or she may require social assistance if left without any means to an income). It also notes that, whereas education has sometimes been described as an economic right, the right of each child to education should be recognized by States independently of the nationality or the legal status of his or her parents. </w:t>
      </w:r>
    </w:p>
    <w:p w:rsidR="00C47C6C" w:rsidRPr="00C47C6C" w:rsidRDefault="00C47C6C" w:rsidP="00C47C6C">
      <w:pPr>
        <w:pStyle w:val="H23G"/>
        <w:ind w:firstLine="0"/>
        <w:rPr>
          <w:rFonts w:eastAsia="MS Mincho"/>
          <w:lang w:eastAsia="ja-JP"/>
        </w:rPr>
      </w:pPr>
      <w:r w:rsidRPr="00C47C6C">
        <w:rPr>
          <w:rFonts w:eastAsia="MS Mincho"/>
          <w:lang w:eastAsia="ja-JP"/>
        </w:rPr>
        <w:t>2.</w:t>
      </w:r>
      <w:r>
        <w:rPr>
          <w:rFonts w:eastAsia="MS Mincho"/>
          <w:lang w:eastAsia="ja-JP"/>
        </w:rPr>
        <w:tab/>
      </w:r>
      <w:r w:rsidRPr="00C47C6C">
        <w:rPr>
          <w:rFonts w:eastAsia="MS Mincho"/>
          <w:lang w:eastAsia="ja-JP"/>
        </w:rPr>
        <w:t>C</w:t>
      </w:r>
      <w:r>
        <w:rPr>
          <w:rFonts w:eastAsia="MS Mincho"/>
          <w:lang w:eastAsia="ja-JP"/>
        </w:rPr>
        <w:t>ore obligations</w:t>
      </w:r>
    </w:p>
    <w:p w:rsidR="00C47C6C" w:rsidRPr="00C47C6C" w:rsidRDefault="00C47C6C" w:rsidP="00C47C6C">
      <w:pPr>
        <w:pStyle w:val="SingleTxtG"/>
        <w:numPr>
          <w:ilvl w:val="0"/>
          <w:numId w:val="11"/>
        </w:numPr>
        <w:ind w:left="1134" w:firstLine="0"/>
        <w:rPr>
          <w:noProof/>
          <w:color w:val="000000"/>
          <w:sz w:val="22"/>
          <w:szCs w:val="22"/>
          <w:lang w:val="en-US" w:eastAsia="fr-FR"/>
        </w:rPr>
      </w:pPr>
      <w:r w:rsidRPr="00C47C6C">
        <w:rPr>
          <w:rFonts w:eastAsia="MS Mincho"/>
          <w:noProof/>
          <w:sz w:val="22"/>
          <w:szCs w:val="22"/>
          <w:lang w:val="en-US" w:eastAsia="fr-FR"/>
        </w:rPr>
        <w:t xml:space="preserve">The essential minimum content of each right should be preserved in all circumstances, and the corresponding </w:t>
      </w:r>
      <w:r w:rsidRPr="00C47C6C">
        <w:rPr>
          <w:rFonts w:eastAsia="MS Mincho"/>
          <w:color w:val="000000"/>
          <w:sz w:val="22"/>
          <w:szCs w:val="22"/>
          <w:lang w:eastAsia="ja-JP"/>
        </w:rPr>
        <w:t>duties extended to all people under the State's effective control, without exception.</w:t>
      </w:r>
      <w:r w:rsidRPr="00C47C6C">
        <w:rPr>
          <w:rFonts w:eastAsia="MS Mincho"/>
          <w:noProof/>
          <w:sz w:val="22"/>
          <w:szCs w:val="22"/>
          <w:lang w:val="en-US" w:eastAsia="fr-FR"/>
        </w:rPr>
        <w:t xml:space="preserve"> The Committee underlined in the past </w:t>
      </w:r>
      <w:r w:rsidRPr="00C47C6C">
        <w:rPr>
          <w:rFonts w:eastAsia="MS Mincho"/>
          <w:noProof/>
          <w:sz w:val="22"/>
          <w:szCs w:val="22"/>
          <w:lang w:val="en-US" w:eastAsia="fr-FR"/>
        </w:rPr>
        <w:lastRenderedPageBreak/>
        <w:t>that the duties to secure freedom from hunger,</w:t>
      </w:r>
      <w:r w:rsidRPr="00C47C6C">
        <w:rPr>
          <w:rFonts w:eastAsia="MS Mincho"/>
          <w:b/>
          <w:color w:val="000000"/>
          <w:sz w:val="22"/>
          <w:szCs w:val="22"/>
          <w:vertAlign w:val="superscript"/>
          <w:lang w:val="fr-FR" w:eastAsia="ja-JP"/>
        </w:rPr>
        <w:footnoteReference w:id="11"/>
      </w:r>
      <w:r w:rsidRPr="00C47C6C">
        <w:rPr>
          <w:rFonts w:eastAsia="MS Mincho"/>
          <w:color w:val="000000"/>
          <w:sz w:val="22"/>
          <w:szCs w:val="22"/>
          <w:lang w:eastAsia="ja-JP"/>
        </w:rPr>
        <w:t xml:space="preserve"> </w:t>
      </w:r>
      <w:r w:rsidRPr="00C47C6C">
        <w:rPr>
          <w:noProof/>
          <w:color w:val="000000"/>
          <w:sz w:val="22"/>
          <w:szCs w:val="22"/>
          <w:lang w:val="en-US" w:eastAsia="fr-FR"/>
        </w:rPr>
        <w:t xml:space="preserve"> </w:t>
      </w:r>
      <w:r w:rsidRPr="00C47C6C">
        <w:rPr>
          <w:rFonts w:eastAsia="MS Mincho"/>
          <w:noProof/>
          <w:sz w:val="22"/>
          <w:szCs w:val="22"/>
          <w:lang w:val="en-US" w:eastAsia="fr-FR"/>
        </w:rPr>
        <w:t>to guarantee access to water to satisfy basic needs,</w:t>
      </w:r>
      <w:r w:rsidRPr="00C47C6C">
        <w:rPr>
          <w:rFonts w:eastAsia="MS Mincho"/>
          <w:b/>
          <w:noProof/>
          <w:sz w:val="22"/>
          <w:szCs w:val="22"/>
          <w:vertAlign w:val="superscript"/>
          <w:lang w:val="en-US" w:eastAsia="fr-FR"/>
        </w:rPr>
        <w:footnoteReference w:id="12"/>
      </w:r>
      <w:r w:rsidRPr="00C47C6C">
        <w:rPr>
          <w:rFonts w:eastAsia="MS Mincho"/>
          <w:noProof/>
          <w:sz w:val="22"/>
          <w:szCs w:val="22"/>
          <w:lang w:val="en-US" w:eastAsia="fr-FR"/>
        </w:rPr>
        <w:t xml:space="preserve"> access </w:t>
      </w:r>
      <w:r w:rsidRPr="00C47C6C">
        <w:rPr>
          <w:rFonts w:eastAsia="MS Mincho"/>
          <w:color w:val="000000"/>
          <w:sz w:val="22"/>
          <w:szCs w:val="22"/>
          <w:lang w:eastAsia="ja-JP"/>
        </w:rPr>
        <w:t>to essential drugs</w:t>
      </w:r>
      <w:r w:rsidRPr="00C47C6C">
        <w:rPr>
          <w:rFonts w:eastAsia="MS Mincho"/>
          <w:b/>
          <w:color w:val="000000"/>
          <w:sz w:val="22"/>
          <w:szCs w:val="22"/>
          <w:vertAlign w:val="superscript"/>
          <w:lang w:val="fr-FR" w:eastAsia="ja-JP"/>
        </w:rPr>
        <w:footnoteReference w:id="13"/>
      </w:r>
      <w:r w:rsidRPr="00C47C6C">
        <w:rPr>
          <w:noProof/>
          <w:color w:val="000000"/>
          <w:sz w:val="22"/>
          <w:szCs w:val="22"/>
          <w:lang w:val="en-US" w:eastAsia="fr-FR"/>
        </w:rPr>
        <w:t xml:space="preserve"> or to education</w:t>
      </w:r>
      <w:r w:rsidRPr="00C47C6C">
        <w:rPr>
          <w:rFonts w:eastAsia="MS Mincho"/>
          <w:color w:val="000000"/>
          <w:sz w:val="22"/>
          <w:szCs w:val="22"/>
          <w:lang w:eastAsia="ja-JP"/>
        </w:rPr>
        <w:t xml:space="preserve"> complying with “minimum educational standards",</w:t>
      </w:r>
      <w:r w:rsidRPr="00C47C6C">
        <w:rPr>
          <w:rFonts w:eastAsia="MS Mincho"/>
          <w:b/>
          <w:color w:val="000000"/>
          <w:sz w:val="22"/>
          <w:szCs w:val="22"/>
          <w:vertAlign w:val="superscript"/>
          <w:lang w:val="fr-FR" w:eastAsia="ja-JP"/>
        </w:rPr>
        <w:footnoteReference w:id="14"/>
      </w:r>
      <w:r w:rsidRPr="00C47C6C">
        <w:rPr>
          <w:rFonts w:eastAsia="MS Mincho"/>
          <w:color w:val="000000"/>
          <w:sz w:val="22"/>
          <w:szCs w:val="22"/>
          <w:lang w:eastAsia="ja-JP"/>
        </w:rPr>
        <w:t xml:space="preserve"> are core obligations of the State and should therefore not be restricted on the basis of nationality or legal status. </w:t>
      </w:r>
    </w:p>
    <w:p w:rsidR="00C47C6C" w:rsidRPr="00C47C6C" w:rsidRDefault="00C47C6C" w:rsidP="00C47C6C">
      <w:pPr>
        <w:pStyle w:val="SingleTxtG"/>
        <w:numPr>
          <w:ilvl w:val="0"/>
          <w:numId w:val="11"/>
        </w:numPr>
        <w:ind w:left="1134" w:firstLine="0"/>
        <w:rPr>
          <w:rFonts w:eastAsia="MS Mincho"/>
          <w:noProof/>
          <w:sz w:val="22"/>
          <w:szCs w:val="22"/>
          <w:lang w:val="en-US" w:eastAsia="fr-FR"/>
        </w:rPr>
      </w:pPr>
      <w:r w:rsidRPr="00C47C6C">
        <w:rPr>
          <w:rFonts w:eastAsia="MS Mincho"/>
          <w:noProof/>
          <w:sz w:val="22"/>
          <w:szCs w:val="22"/>
          <w:lang w:val="en-US" w:eastAsia="fr-FR"/>
        </w:rPr>
        <w:t>The Committee has affirmed in the past that "[i]n order for a State party to be able to attribute its failure to meet at least its minimum core obligations to a lack of available resources it must demonstrate that every effort has been made to use all resources that are at its disposition in an effort to satisfy, as a matter of priority, those minimum obligations".</w:t>
      </w:r>
      <w:r w:rsidRPr="00C47C6C">
        <w:rPr>
          <w:rFonts w:eastAsia="MS Mincho"/>
          <w:b/>
          <w:noProof/>
          <w:sz w:val="22"/>
          <w:szCs w:val="22"/>
          <w:vertAlign w:val="superscript"/>
          <w:lang w:val="en-US" w:eastAsia="fr-FR"/>
        </w:rPr>
        <w:footnoteReference w:id="15"/>
      </w:r>
      <w:r w:rsidRPr="00C47C6C">
        <w:rPr>
          <w:rFonts w:eastAsia="MS Mincho"/>
          <w:noProof/>
          <w:sz w:val="22"/>
          <w:szCs w:val="22"/>
          <w:lang w:val="en-US" w:eastAsia="fr-FR"/>
        </w:rPr>
        <w:t xml:space="preserve"> Although States parties to the Covenant should accommodate refugees and migrants' inflows commensurate with the extent of the maximum resources available, they would not, in principle, be justified in restricting the enjoyment of the essential content of the Covenant rights on the basis of a lack of resources, even when confronted with a sudden and quantitatively significant flow of refugees. As noted by the Committee in its Statement on poverty, adopted in 2001, "</w:t>
      </w:r>
      <w:r w:rsidRPr="00C47C6C">
        <w:rPr>
          <w:rFonts w:eastAsia="MS Mincho"/>
          <w:sz w:val="22"/>
          <w:szCs w:val="22"/>
          <w:lang w:eastAsia="ja-JP"/>
        </w:rPr>
        <w:t>because core obligations are non-derogable, they continue to exist in situations of</w:t>
      </w:r>
      <w:r w:rsidRPr="00C47C6C">
        <w:rPr>
          <w:rFonts w:eastAsia="MS Mincho"/>
          <w:noProof/>
          <w:sz w:val="22"/>
          <w:szCs w:val="22"/>
          <w:lang w:val="en-US" w:eastAsia="fr-FR"/>
        </w:rPr>
        <w:t xml:space="preserve"> </w:t>
      </w:r>
      <w:r w:rsidRPr="00C47C6C">
        <w:rPr>
          <w:rFonts w:eastAsia="MS Mincho"/>
          <w:sz w:val="22"/>
          <w:szCs w:val="22"/>
          <w:lang w:eastAsia="ja-JP"/>
        </w:rPr>
        <w:t>conflict, emergency and natural disaster".</w:t>
      </w:r>
      <w:r w:rsidRPr="00C47C6C">
        <w:rPr>
          <w:rFonts w:eastAsia="MS Mincho"/>
          <w:b/>
          <w:sz w:val="22"/>
          <w:szCs w:val="22"/>
          <w:vertAlign w:val="superscript"/>
          <w:lang w:val="fr-FR" w:eastAsia="ja-JP"/>
        </w:rPr>
        <w:footnoteReference w:id="16"/>
      </w:r>
    </w:p>
    <w:p w:rsidR="00C47C6C" w:rsidRPr="00C47C6C" w:rsidRDefault="00C47C6C" w:rsidP="00C47C6C">
      <w:pPr>
        <w:pStyle w:val="H1G"/>
        <w:rPr>
          <w:rFonts w:eastAsia="MS Mincho"/>
          <w:noProof/>
          <w:lang w:val="en-US" w:eastAsia="fr-FR"/>
        </w:rPr>
      </w:pPr>
      <w:r>
        <w:rPr>
          <w:rFonts w:eastAsia="MS Mincho"/>
          <w:noProof/>
          <w:lang w:val="en-US" w:eastAsia="fr-FR"/>
        </w:rPr>
        <w:tab/>
      </w:r>
      <w:r w:rsidRPr="00C47C6C">
        <w:rPr>
          <w:rFonts w:eastAsia="MS Mincho"/>
          <w:noProof/>
          <w:lang w:val="en-US" w:eastAsia="fr-FR"/>
        </w:rPr>
        <w:t>III.</w:t>
      </w:r>
      <w:r>
        <w:rPr>
          <w:rFonts w:eastAsia="MS Mincho"/>
          <w:noProof/>
          <w:lang w:val="en-US" w:eastAsia="fr-FR"/>
        </w:rPr>
        <w:tab/>
      </w:r>
      <w:r w:rsidRPr="00C47C6C">
        <w:rPr>
          <w:rFonts w:eastAsia="MS Mincho"/>
          <w:noProof/>
          <w:lang w:val="en-US" w:eastAsia="fr-FR"/>
        </w:rPr>
        <w:t>The integration of refugees and migrants and the specific vulnerability of undocumented migrants</w:t>
      </w:r>
    </w:p>
    <w:p w:rsidR="00C47C6C" w:rsidRPr="00C47C6C" w:rsidRDefault="00C47C6C" w:rsidP="00C47C6C">
      <w:pPr>
        <w:pStyle w:val="SingleTxtG"/>
        <w:numPr>
          <w:ilvl w:val="0"/>
          <w:numId w:val="11"/>
        </w:numPr>
        <w:ind w:left="1134" w:firstLine="0"/>
        <w:rPr>
          <w:bCs/>
          <w:noProof/>
          <w:sz w:val="22"/>
          <w:szCs w:val="22"/>
          <w:lang w:val="en-US" w:eastAsia="fr-FR"/>
        </w:rPr>
      </w:pPr>
      <w:r w:rsidRPr="00C47C6C">
        <w:rPr>
          <w:bCs/>
          <w:noProof/>
          <w:sz w:val="22"/>
          <w:szCs w:val="22"/>
          <w:lang w:val="en-US" w:eastAsia="fr-FR"/>
        </w:rPr>
        <w:t xml:space="preserve">Beyond the immediate duty to ensure that the essential minimum content of the Covenant rights are guaranteed to all refugees and migrants under their jurisdiction, States parties to the Covenant should take the Covenant into account in defining the conditions of integration of refugees and migrants who are settling within their territory. The Committee draws the attention of the States parties, in particular, to the fact that enjoyment of the Covenant rights should not depend on the legal status of the persons concerned. The lack of documentation frequently makes it impossible for parents to send their children to school, or for migrants to have access to healthcare, including emergency medical treatment, to take up employment, to apply for social housing or to engage in an economic activity in a self-employed capacity. This situation cannot be tolerated. Pending a decision on their claim to be reconized as refugees, asylum-seekers should be granted a temporary status allowing them to enjoy economic, social and cultural rights without discrimination. This goes beyond the elementary duty to register children at birth, as stated by Article 7(1) of the Convention on the Rights of the Child and by Article 29 of the </w:t>
      </w:r>
      <w:r w:rsidRPr="00C47C6C">
        <w:rPr>
          <w:rFonts w:eastAsia="MS Mincho"/>
          <w:sz w:val="22"/>
          <w:szCs w:val="22"/>
          <w:lang w:eastAsia="ja-JP"/>
        </w:rPr>
        <w:t>Convention on the Protection of the Rights of All Migrant Workers and Members of Their Families</w:t>
      </w:r>
      <w:r w:rsidRPr="00C47C6C">
        <w:rPr>
          <w:bCs/>
          <w:noProof/>
          <w:sz w:val="22"/>
          <w:szCs w:val="22"/>
          <w:lang w:val="en-US" w:eastAsia="fr-FR"/>
        </w:rPr>
        <w:t xml:space="preserve">. Nor can undocumented migrants who are not seeking asylum simply be ignored.  Without prejudice to the possibility for State to order that they leave the territory, the very presence of such migrants under the State's jurisdiction imposes on the State certain obligations, including of course the primary obligation to acknowledge their presence and the fact that those migrants can claim rights against national authorities. </w:t>
      </w:r>
    </w:p>
    <w:p w:rsidR="00C47C6C" w:rsidRPr="00C47C6C" w:rsidRDefault="00C47C6C" w:rsidP="00C47C6C">
      <w:pPr>
        <w:pStyle w:val="SingleTxtG"/>
        <w:numPr>
          <w:ilvl w:val="0"/>
          <w:numId w:val="11"/>
        </w:numPr>
        <w:ind w:left="1134" w:firstLine="0"/>
        <w:rPr>
          <w:bCs/>
          <w:noProof/>
          <w:sz w:val="22"/>
          <w:szCs w:val="22"/>
          <w:lang w:val="en-US" w:eastAsia="fr-FR"/>
        </w:rPr>
      </w:pPr>
      <w:r w:rsidRPr="00C47C6C">
        <w:rPr>
          <w:bCs/>
          <w:noProof/>
          <w:sz w:val="22"/>
          <w:szCs w:val="22"/>
          <w:lang w:val="en-US" w:eastAsia="fr-FR"/>
        </w:rPr>
        <w:lastRenderedPageBreak/>
        <w:t>I</w:t>
      </w:r>
      <w:r w:rsidRPr="00C47C6C">
        <w:rPr>
          <w:rFonts w:eastAsia="MS Mincho"/>
          <w:sz w:val="22"/>
          <w:szCs w:val="22"/>
          <w:lang w:eastAsia="ja-JP"/>
        </w:rPr>
        <w:t>n its general comment No. 14 (2000), the Committee recalled that States parties have a duty to respect the right to health by ensuring that all persons, including migrants, have equal access to preventive, curative and palliative health services, regardless of their legal status and documentation.</w:t>
      </w:r>
      <w:r w:rsidRPr="00C47C6C">
        <w:rPr>
          <w:rFonts w:eastAsia="MS Mincho"/>
          <w:b/>
          <w:sz w:val="22"/>
          <w:szCs w:val="22"/>
          <w:vertAlign w:val="superscript"/>
          <w:lang w:val="fr-FR" w:eastAsia="ja-JP"/>
        </w:rPr>
        <w:footnoteReference w:id="17"/>
      </w:r>
      <w:r w:rsidRPr="00C47C6C">
        <w:rPr>
          <w:rFonts w:eastAsia="MS Mincho"/>
          <w:sz w:val="22"/>
          <w:szCs w:val="22"/>
          <w:lang w:eastAsia="ja-JP"/>
        </w:rPr>
        <w:t xml:space="preserve"> The Committee is aware that migrants face specific obstacles in this regard. Documentation may be required from those seeking access to healthcare. Migrants, particularly those who do not speak the language of the host country, may not be aware of their entitlements. Migrants in an irregular situation may also fear being detained for deportation, particularly in countries where public officials have a duty to report on irregular migrants. In addition to ensuring access to healthcare without discrimination, strict walls should exist between healthcare personnel and law enforcement authorities, and adequate information should be made available in the languages commonly spoken by migrants in the host country, in order to ensure that such situations do not result in migrants avoiding to seek and obtain healthcare.</w:t>
      </w:r>
    </w:p>
    <w:p w:rsidR="00C47C6C" w:rsidRPr="00C47C6C" w:rsidRDefault="00C47C6C" w:rsidP="00C47C6C">
      <w:pPr>
        <w:pStyle w:val="SingleTxtG"/>
        <w:numPr>
          <w:ilvl w:val="0"/>
          <w:numId w:val="11"/>
        </w:numPr>
        <w:ind w:left="1134" w:firstLine="0"/>
        <w:rPr>
          <w:rFonts w:eastAsia="MS Mincho"/>
          <w:noProof/>
          <w:sz w:val="22"/>
          <w:szCs w:val="22"/>
          <w:lang w:val="en-US" w:eastAsia="fr-FR"/>
        </w:rPr>
      </w:pPr>
      <w:r w:rsidRPr="00C47C6C">
        <w:rPr>
          <w:noProof/>
          <w:lang w:val="en-US"/>
        </w:rPr>
        <w:t>In its General Comment No. 23 (2016) on the right to just and favourable conditions of work, recognized</w:t>
      </w:r>
      <w:r w:rsidRPr="00C47C6C">
        <w:rPr>
          <w:rFonts w:eastAsia="MS Mincho"/>
          <w:bCs/>
          <w:noProof/>
          <w:sz w:val="22"/>
          <w:szCs w:val="22"/>
          <w:lang w:val="en-US" w:eastAsia="fr-FR"/>
        </w:rPr>
        <w:t xml:space="preserve"> under Article 7 of the Covenant, the Committee identified migrant </w:t>
      </w:r>
      <w:r w:rsidRPr="00C47C6C">
        <w:rPr>
          <w:rFonts w:eastAsia="MS Mincho"/>
          <w:noProof/>
          <w:sz w:val="22"/>
          <w:szCs w:val="22"/>
          <w:lang w:val="en-US" w:eastAsia="fr-FR"/>
        </w:rPr>
        <w:t>workers as a group whose rights were particularly at risk. It noted that such workers, "in particular if they are undocumented, are vulnerable to exploitation, long working hours, unfair wages and dangerous and unhealthy working environments." It listed a number of factors that may increase such vulnerability, including situations where the employer has control over the migrant worker’s residence status or that tie migrant workers to a specific employer; the inability for the workers concerned to speak the national language(s); the fear of reprisals from employers; and eventual expulsion if these workers seek to complain about working conditions</w:t>
      </w:r>
      <w:r w:rsidRPr="00C47C6C">
        <w:rPr>
          <w:rFonts w:eastAsia="MS Mincho"/>
          <w:bCs/>
          <w:noProof/>
          <w:sz w:val="22"/>
          <w:szCs w:val="22"/>
          <w:lang w:val="en-US" w:eastAsia="fr-FR"/>
        </w:rPr>
        <w:t>.</w:t>
      </w:r>
      <w:r w:rsidRPr="00C47C6C">
        <w:rPr>
          <w:rFonts w:eastAsia="MS Mincho"/>
          <w:b/>
          <w:bCs/>
          <w:noProof/>
          <w:sz w:val="22"/>
          <w:szCs w:val="22"/>
          <w:vertAlign w:val="superscript"/>
          <w:lang w:val="en-US" w:eastAsia="fr-FR"/>
        </w:rPr>
        <w:footnoteReference w:id="18"/>
      </w:r>
      <w:r w:rsidRPr="00C47C6C">
        <w:rPr>
          <w:rFonts w:eastAsia="MS Mincho"/>
          <w:bCs/>
          <w:noProof/>
          <w:sz w:val="22"/>
          <w:szCs w:val="22"/>
          <w:lang w:val="en-US" w:eastAsia="fr-FR"/>
        </w:rPr>
        <w:t xml:space="preserve"> It follows that, in addition to l</w:t>
      </w:r>
      <w:r w:rsidRPr="00C47C6C">
        <w:rPr>
          <w:rFonts w:eastAsia="MS Mincho"/>
          <w:noProof/>
          <w:sz w:val="22"/>
          <w:szCs w:val="22"/>
          <w:lang w:val="en-US" w:eastAsia="fr-FR"/>
        </w:rPr>
        <w:t>aws and policies having to ensure that migrant workers enjoy treatment that is no less favourable than that of national workers in relation to remuneration and conditions of work, specific measures of protection may have to be adopted for the benefit of undocumented workers, to ensure that any abuse of their situation of vulnerability is effectively addressed, and that they do not fear filing complaints with the competent authorities.</w:t>
      </w:r>
    </w:p>
    <w:p w:rsidR="00C47C6C" w:rsidRPr="00C47C6C" w:rsidRDefault="00C47C6C" w:rsidP="00C47C6C">
      <w:pPr>
        <w:pStyle w:val="SingleTxtG"/>
        <w:numPr>
          <w:ilvl w:val="0"/>
          <w:numId w:val="11"/>
        </w:numPr>
        <w:ind w:left="1134" w:firstLine="0"/>
        <w:rPr>
          <w:rFonts w:eastAsia="MS Mincho"/>
          <w:sz w:val="22"/>
          <w:szCs w:val="22"/>
          <w:lang w:eastAsia="ja-JP"/>
        </w:rPr>
      </w:pPr>
      <w:r w:rsidRPr="00C47C6C">
        <w:rPr>
          <w:rFonts w:eastAsia="MS Mincho"/>
          <w:sz w:val="22"/>
          <w:szCs w:val="22"/>
          <w:lang w:eastAsia="ja-JP"/>
        </w:rPr>
        <w:t>Similar concerns arise as regards the right to housing. The Committee has repeatedly found that migrants were housed in sub-standard conditions, sometimes in geographically segregated areas. Its concerns were echoed in this regard by the Committee on the Elimination of Racial Discrimination which, in its general recommendation No. 30 (2004), urged States parties to "remove obstacles that prevent the enjoyment of economic, social and cultural rights by non-citizens, notably in the [area] of … housing" and to "guarantee the equal enjoyment of the right to adequate housing for citizens and non-citizens, especially by avoiding segregation in housing and ensuring that housing agencies refrain from engaging in discriminatory practices".</w:t>
      </w:r>
      <w:r w:rsidRPr="00C47C6C">
        <w:rPr>
          <w:rFonts w:eastAsia="MS Mincho"/>
          <w:b/>
          <w:sz w:val="22"/>
          <w:szCs w:val="22"/>
          <w:vertAlign w:val="superscript"/>
          <w:lang w:val="fr-FR" w:eastAsia="ja-JP"/>
        </w:rPr>
        <w:footnoteReference w:id="19"/>
      </w:r>
      <w:r w:rsidRPr="00C47C6C">
        <w:rPr>
          <w:rFonts w:eastAsia="MS Mincho"/>
          <w:sz w:val="22"/>
          <w:szCs w:val="22"/>
          <w:lang w:eastAsia="ja-JP"/>
        </w:rPr>
        <w:t xml:space="preserve"> </w:t>
      </w:r>
    </w:p>
    <w:p w:rsidR="00C47C6C" w:rsidRPr="00C47C6C" w:rsidRDefault="00C47C6C" w:rsidP="00C47C6C">
      <w:pPr>
        <w:pStyle w:val="SingleTxtG"/>
        <w:numPr>
          <w:ilvl w:val="0"/>
          <w:numId w:val="11"/>
        </w:numPr>
        <w:ind w:left="1134" w:firstLine="0"/>
        <w:rPr>
          <w:rFonts w:eastAsia="MS Mincho"/>
          <w:sz w:val="22"/>
          <w:szCs w:val="22"/>
          <w:lang w:eastAsia="ja-JP"/>
        </w:rPr>
      </w:pPr>
      <w:r w:rsidRPr="00C47C6C">
        <w:rPr>
          <w:rFonts w:eastAsia="MS Mincho"/>
          <w:sz w:val="22"/>
          <w:szCs w:val="22"/>
          <w:lang w:eastAsia="ja-JP"/>
        </w:rPr>
        <w:t xml:space="preserve">In its general comment No. 19 (2007), the Committee recalled that migrants should be entitled to access "non-contributory schemes for income support, affordable access to health care and family support". Restrictions on access to such </w:t>
      </w:r>
      <w:r w:rsidRPr="00C47C6C">
        <w:rPr>
          <w:rFonts w:eastAsia="MS Mincho"/>
          <w:sz w:val="22"/>
          <w:szCs w:val="22"/>
          <w:lang w:eastAsia="ja-JP"/>
        </w:rPr>
        <w:lastRenderedPageBreak/>
        <w:t>schemes, including the requirement of a qualification period, should be reasonable and proportionate.</w:t>
      </w:r>
      <w:r w:rsidRPr="00C47C6C">
        <w:rPr>
          <w:rFonts w:eastAsia="MS Mincho"/>
          <w:b/>
          <w:sz w:val="22"/>
          <w:szCs w:val="22"/>
          <w:vertAlign w:val="superscript"/>
          <w:lang w:val="fr-FR" w:eastAsia="ja-JP"/>
        </w:rPr>
        <w:footnoteReference w:id="20"/>
      </w:r>
      <w:r w:rsidRPr="00C47C6C">
        <w:rPr>
          <w:rFonts w:eastAsia="MS Mincho"/>
          <w:sz w:val="22"/>
          <w:szCs w:val="22"/>
          <w:lang w:eastAsia="ja-JP"/>
        </w:rPr>
        <w:t xml:space="preserve">  The extension of social security contributory benefits to asylum-seekers and undocumented migrants poses specific challenges, however, since the precarious (and sometimes temporary) situation of these groups may make it difficult for them to be integrated in such schemes. The Committee notes, however, that even when they are irregularly employed, often by unscrupulous employers seeking to reduce costs by not paying social security contributions, workers belonging to these categories do contribute to the financing of the social security system by paying indirect taxes. The inability of undocumented workers to obtain social security benefits increases their vulnerability and their dependence on their employers.</w:t>
      </w:r>
    </w:p>
    <w:p w:rsidR="00C47C6C" w:rsidRPr="00C47C6C" w:rsidRDefault="00C47C6C" w:rsidP="00C47C6C">
      <w:pPr>
        <w:pStyle w:val="SingleTxtG"/>
        <w:numPr>
          <w:ilvl w:val="0"/>
          <w:numId w:val="11"/>
        </w:numPr>
        <w:ind w:left="1134" w:firstLine="0"/>
        <w:rPr>
          <w:rFonts w:eastAsia="MS Mincho"/>
          <w:sz w:val="22"/>
          <w:szCs w:val="22"/>
          <w:lang w:eastAsia="ja-JP"/>
        </w:rPr>
      </w:pPr>
      <w:r w:rsidRPr="00C47C6C">
        <w:rPr>
          <w:rFonts w:eastAsia="MS Mincho"/>
          <w:sz w:val="22"/>
          <w:szCs w:val="22"/>
          <w:lang w:eastAsia="ja-JP"/>
        </w:rPr>
        <w:t>The Committee recognizes that the vulnerability of women and girl migrants and refugees to trafficking and other forms of gender based violence and exploitation increases during conflicts and disasters. Such vulnerability is further exacerbated in the case of undocumented women and girl migrants and refugees, who are reluctant to report such abuses due to their legal status and as they may lack confidence in the authorities and fear deportation.</w:t>
      </w:r>
    </w:p>
    <w:p w:rsidR="00C47C6C" w:rsidRPr="00C47C6C" w:rsidRDefault="00C47C6C" w:rsidP="00C47C6C">
      <w:pPr>
        <w:pStyle w:val="H1G"/>
        <w:rPr>
          <w:rFonts w:eastAsia="MS Mincho"/>
          <w:noProof/>
          <w:lang w:val="en-US" w:eastAsia="fr-FR"/>
        </w:rPr>
      </w:pPr>
      <w:r>
        <w:rPr>
          <w:rFonts w:eastAsia="MS Mincho"/>
          <w:noProof/>
          <w:lang w:val="en-US" w:eastAsia="fr-FR"/>
        </w:rPr>
        <w:tab/>
      </w:r>
      <w:r w:rsidRPr="00C47C6C">
        <w:rPr>
          <w:rFonts w:eastAsia="MS Mincho"/>
          <w:noProof/>
          <w:lang w:val="en-US" w:eastAsia="fr-FR"/>
        </w:rPr>
        <w:t>IV.</w:t>
      </w:r>
      <w:r>
        <w:rPr>
          <w:rFonts w:eastAsia="MS Mincho"/>
          <w:noProof/>
          <w:lang w:val="en-US" w:eastAsia="fr-FR"/>
        </w:rPr>
        <w:tab/>
      </w:r>
      <w:r w:rsidRPr="00C47C6C">
        <w:rPr>
          <w:rFonts w:eastAsia="MS Mincho"/>
          <w:noProof/>
          <w:lang w:val="en-US" w:eastAsia="fr-FR"/>
        </w:rPr>
        <w:t>Data collection as a basis for national rights plans</w:t>
      </w:r>
    </w:p>
    <w:p w:rsidR="00C47C6C" w:rsidRPr="00C47C6C" w:rsidRDefault="00C47C6C" w:rsidP="00C47C6C">
      <w:pPr>
        <w:pStyle w:val="SingleTxtG"/>
        <w:numPr>
          <w:ilvl w:val="0"/>
          <w:numId w:val="11"/>
        </w:numPr>
        <w:ind w:left="1134" w:firstLine="0"/>
        <w:rPr>
          <w:bCs/>
          <w:sz w:val="22"/>
          <w:szCs w:val="22"/>
          <w:lang w:eastAsia="fr-FR"/>
        </w:rPr>
      </w:pPr>
      <w:r w:rsidRPr="00C47C6C">
        <w:rPr>
          <w:rFonts w:eastAsia="MS Mincho"/>
          <w:bCs/>
          <w:color w:val="000000"/>
          <w:sz w:val="22"/>
          <w:szCs w:val="22"/>
          <w:lang w:eastAsia="ja-JP"/>
        </w:rPr>
        <w:t xml:space="preserve">The Committee notes that in a number of cases, the States parties' reports provide insufficient information on the extent to which recognized refugees, asylum-seekers and undocumented migrants enjoy the rights of the Covenant. The Committee urges States parties to collect such data, in order to allow the Committee to assess the extent to which they comply with their obligations under the Covenant. </w:t>
      </w:r>
      <w:r w:rsidRPr="00C47C6C">
        <w:rPr>
          <w:bCs/>
          <w:sz w:val="22"/>
          <w:szCs w:val="22"/>
          <w:lang w:eastAsia="fr-FR"/>
        </w:rPr>
        <w:t xml:space="preserve">The collection of such data can make a significant contribution to the adoption and implementation of policies aimed at improving, for instance, access to employment, to education or to healthcare of migrants, including undocumented migrants, under the State party's jurisdiction.  </w:t>
      </w:r>
    </w:p>
    <w:p w:rsidR="00C47C6C" w:rsidRPr="00C47C6C" w:rsidRDefault="00C47C6C" w:rsidP="00C47C6C">
      <w:pPr>
        <w:pStyle w:val="H1G"/>
        <w:rPr>
          <w:rFonts w:eastAsia="MS Mincho"/>
          <w:noProof/>
          <w:lang w:val="en-US" w:eastAsia="fr-FR"/>
        </w:rPr>
      </w:pPr>
      <w:r>
        <w:rPr>
          <w:rFonts w:eastAsia="MS Mincho"/>
          <w:noProof/>
          <w:lang w:val="en-US" w:eastAsia="fr-FR"/>
        </w:rPr>
        <w:tab/>
      </w:r>
      <w:r w:rsidRPr="00C47C6C">
        <w:rPr>
          <w:rFonts w:eastAsia="MS Mincho"/>
          <w:noProof/>
          <w:lang w:val="en-US" w:eastAsia="fr-FR"/>
        </w:rPr>
        <w:t>V.</w:t>
      </w:r>
      <w:r>
        <w:rPr>
          <w:rFonts w:eastAsia="MS Mincho"/>
          <w:noProof/>
          <w:lang w:val="en-US" w:eastAsia="fr-FR"/>
        </w:rPr>
        <w:tab/>
      </w:r>
      <w:r w:rsidRPr="00C47C6C">
        <w:rPr>
          <w:rFonts w:eastAsia="MS Mincho"/>
          <w:noProof/>
          <w:lang w:val="en-US" w:eastAsia="fr-FR"/>
        </w:rPr>
        <w:t>International cooperation</w:t>
      </w:r>
    </w:p>
    <w:p w:rsidR="00C47C6C" w:rsidRPr="00C47C6C" w:rsidRDefault="00C47C6C" w:rsidP="00C47C6C">
      <w:pPr>
        <w:pStyle w:val="SingleTxtG"/>
        <w:numPr>
          <w:ilvl w:val="0"/>
          <w:numId w:val="11"/>
        </w:numPr>
        <w:ind w:left="1134" w:firstLine="0"/>
        <w:rPr>
          <w:rFonts w:eastAsia="MS Mincho"/>
          <w:bCs/>
          <w:sz w:val="22"/>
          <w:szCs w:val="22"/>
          <w:lang w:eastAsia="fr-FR"/>
        </w:rPr>
      </w:pPr>
      <w:r w:rsidRPr="00C47C6C">
        <w:rPr>
          <w:rFonts w:eastAsia="MS Mincho"/>
          <w:bCs/>
          <w:sz w:val="22"/>
          <w:szCs w:val="22"/>
          <w:lang w:eastAsia="fr-FR"/>
        </w:rPr>
        <w:t>As confirmed by Articles 2, para. 1, 11, para. 2, b), 22 and 23 of the Covenant, the realization of the rights of the International Covenant on Economic, Social and Cultural Rights is a common objective of all States parties. As members of the United Nations, they have pledged to cooperate in fulfilling this aim.</w:t>
      </w:r>
      <w:r w:rsidRPr="00C47C6C">
        <w:rPr>
          <w:rFonts w:eastAsia="MS Mincho"/>
          <w:b/>
          <w:bCs/>
          <w:sz w:val="22"/>
          <w:szCs w:val="22"/>
          <w:vertAlign w:val="superscript"/>
          <w:lang w:val="fr-BE" w:eastAsia="fr-FR"/>
        </w:rPr>
        <w:footnoteReference w:id="21"/>
      </w:r>
      <w:r w:rsidRPr="00C47C6C">
        <w:rPr>
          <w:rFonts w:eastAsia="MS Mincho"/>
          <w:bCs/>
          <w:sz w:val="22"/>
          <w:szCs w:val="22"/>
          <w:lang w:eastAsia="fr-FR"/>
        </w:rPr>
        <w:t xml:space="preserve">  International assistance and cooperation are particularly required in order to allow States facing a sudden influx of refugees and migrants to comply with their </w:t>
      </w:r>
      <w:r w:rsidRPr="00C47C6C">
        <w:rPr>
          <w:rFonts w:eastAsia="MS Mincho"/>
          <w:bCs/>
          <w:sz w:val="22"/>
          <w:szCs w:val="22"/>
          <w:lang w:eastAsia="ja-JP"/>
        </w:rPr>
        <w:t>core obligations as defined above. As the Committee made clear in its Statement on poverty, such obligations "give rise to national responsibilities for all States and international responsibilities for developed States, as well as others that are “in a position to assist”".</w:t>
      </w:r>
      <w:r w:rsidRPr="00C47C6C">
        <w:rPr>
          <w:rFonts w:eastAsia="MS Mincho"/>
          <w:b/>
          <w:bCs/>
          <w:sz w:val="22"/>
          <w:szCs w:val="22"/>
          <w:vertAlign w:val="superscript"/>
          <w:lang w:val="fr-FR" w:eastAsia="ja-JP"/>
        </w:rPr>
        <w:footnoteReference w:id="22"/>
      </w:r>
      <w:r w:rsidRPr="00C47C6C">
        <w:rPr>
          <w:rFonts w:eastAsia="MS Mincho"/>
          <w:bCs/>
          <w:sz w:val="22"/>
          <w:szCs w:val="22"/>
          <w:lang w:eastAsia="ja-JP"/>
        </w:rPr>
        <w:t xml:space="preserve"> </w:t>
      </w:r>
      <w:r w:rsidRPr="00C47C6C">
        <w:rPr>
          <w:rFonts w:eastAsia="MS Mincho"/>
          <w:bCs/>
          <w:color w:val="000000"/>
          <w:sz w:val="22"/>
          <w:szCs w:val="22"/>
          <w:lang w:eastAsia="ja-JP"/>
        </w:rPr>
        <w:t xml:space="preserve">The </w:t>
      </w:r>
      <w:r w:rsidRPr="00C47C6C">
        <w:rPr>
          <w:rFonts w:eastAsia="MS Mincho"/>
          <w:bCs/>
          <w:sz w:val="22"/>
          <w:szCs w:val="22"/>
          <w:lang w:eastAsia="fr-FR"/>
        </w:rPr>
        <w:t xml:space="preserve">Committee is aware that, when confronted by large flows of migrants fleeing conflict or persecution, some States face a heavier burden than others. It sees any measure that States parties adopt to support the realization of the </w:t>
      </w:r>
      <w:r w:rsidRPr="00C47C6C">
        <w:rPr>
          <w:rFonts w:eastAsia="MS Mincho"/>
          <w:bCs/>
          <w:sz w:val="22"/>
          <w:szCs w:val="22"/>
          <w:lang w:eastAsia="fr-FR"/>
        </w:rPr>
        <w:lastRenderedPageBreak/>
        <w:t xml:space="preserve">rights of the Covenant on the territory of other States as contributing to the aims of the Covenant. </w:t>
      </w:r>
    </w:p>
    <w:p w:rsidR="0086281B" w:rsidRPr="0086281B" w:rsidRDefault="0086281B" w:rsidP="0086281B">
      <w:pPr>
        <w:pStyle w:val="SingleTxtG"/>
        <w:spacing w:before="240" w:after="0"/>
        <w:jc w:val="center"/>
        <w:rPr>
          <w:u w:val="single"/>
        </w:rPr>
      </w:pPr>
      <w:r>
        <w:rPr>
          <w:u w:val="single"/>
        </w:rPr>
        <w:tab/>
      </w:r>
      <w:r>
        <w:rPr>
          <w:u w:val="single"/>
        </w:rPr>
        <w:tab/>
      </w:r>
      <w:r>
        <w:rPr>
          <w:u w:val="single"/>
        </w:rPr>
        <w:tab/>
      </w:r>
    </w:p>
    <w:sectPr w:rsidR="0086281B" w:rsidRPr="0086281B" w:rsidSect="00DE1003">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07B" w:rsidRPr="00701B61" w:rsidRDefault="00CC307B" w:rsidP="00701B61">
      <w:pPr>
        <w:pStyle w:val="Footer"/>
      </w:pPr>
    </w:p>
  </w:endnote>
  <w:endnote w:type="continuationSeparator" w:id="0">
    <w:p w:rsidR="00CC307B" w:rsidRDefault="00CC307B" w:rsidP="00247E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89" w:rsidRDefault="00693289" w:rsidP="00693289">
    <w:pPr>
      <w:pStyle w:val="Footer"/>
      <w:tabs>
        <w:tab w:val="right" w:pos="9638"/>
      </w:tabs>
    </w:pPr>
    <w:r w:rsidRPr="0042419F">
      <w:rPr>
        <w:b/>
        <w:sz w:val="18"/>
      </w:rPr>
      <w:fldChar w:fldCharType="begin"/>
    </w:r>
    <w:r w:rsidRPr="0042419F">
      <w:rPr>
        <w:b/>
        <w:sz w:val="18"/>
      </w:rPr>
      <w:instrText xml:space="preserve"> PAGE  \* MERGEFORMAT </w:instrText>
    </w:r>
    <w:r w:rsidRPr="0042419F">
      <w:rPr>
        <w:b/>
        <w:sz w:val="18"/>
      </w:rPr>
      <w:fldChar w:fldCharType="separate"/>
    </w:r>
    <w:r w:rsidR="00804992">
      <w:rPr>
        <w:b/>
        <w:noProof/>
        <w:sz w:val="18"/>
      </w:rPr>
      <w:t>6</w:t>
    </w:r>
    <w:r w:rsidRPr="0042419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19F" w:rsidRPr="0042419F" w:rsidRDefault="00693289" w:rsidP="0042419F">
    <w:pPr>
      <w:pStyle w:val="Footer"/>
      <w:tabs>
        <w:tab w:val="right" w:pos="9638"/>
      </w:tabs>
    </w:pPr>
    <w:r>
      <w:tab/>
    </w:r>
    <w:r w:rsidRPr="0042419F">
      <w:rPr>
        <w:b/>
        <w:sz w:val="18"/>
      </w:rPr>
      <w:fldChar w:fldCharType="begin"/>
    </w:r>
    <w:r w:rsidRPr="0042419F">
      <w:rPr>
        <w:b/>
        <w:sz w:val="18"/>
      </w:rPr>
      <w:instrText xml:space="preserve"> PAGE  \* MERGEFORMAT </w:instrText>
    </w:r>
    <w:r w:rsidRPr="0042419F">
      <w:rPr>
        <w:b/>
        <w:sz w:val="18"/>
      </w:rPr>
      <w:fldChar w:fldCharType="separate"/>
    </w:r>
    <w:r w:rsidR="00804992">
      <w:rPr>
        <w:b/>
        <w:noProof/>
        <w:sz w:val="18"/>
      </w:rPr>
      <w:t>5</w:t>
    </w:r>
    <w:r w:rsidRPr="0042419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07B" w:rsidRPr="00701B61" w:rsidRDefault="00CC307B" w:rsidP="00701B61">
      <w:pPr>
        <w:tabs>
          <w:tab w:val="right" w:pos="2155"/>
        </w:tabs>
        <w:spacing w:after="80" w:line="240" w:lineRule="auto"/>
        <w:ind w:left="680"/>
      </w:pPr>
      <w:r>
        <w:rPr>
          <w:u w:val="single"/>
        </w:rPr>
        <w:tab/>
      </w:r>
    </w:p>
  </w:footnote>
  <w:footnote w:type="continuationSeparator" w:id="0">
    <w:p w:rsidR="00CC307B" w:rsidRPr="00701B61" w:rsidRDefault="00CC307B" w:rsidP="00701B61">
      <w:pPr>
        <w:tabs>
          <w:tab w:val="right" w:pos="2155"/>
        </w:tabs>
        <w:spacing w:after="80" w:line="240" w:lineRule="auto"/>
        <w:ind w:left="680"/>
      </w:pPr>
      <w:r>
        <w:rPr>
          <w:u w:val="single"/>
        </w:rPr>
        <w:tab/>
      </w:r>
    </w:p>
  </w:footnote>
  <w:footnote w:id="1">
    <w:p w:rsidR="00693289" w:rsidRDefault="00693289" w:rsidP="00693289">
      <w:pPr>
        <w:pStyle w:val="FootnoteText"/>
        <w:ind w:firstLine="0"/>
      </w:pPr>
      <w:r>
        <w:rPr>
          <w:rStyle w:val="FootnoteReference"/>
        </w:rPr>
        <w:t>*</w:t>
      </w:r>
      <w:r>
        <w:t xml:space="preserve"> </w:t>
      </w:r>
      <w:r>
        <w:tab/>
        <w:t>The present statement, which was a</w:t>
      </w:r>
      <w:r w:rsidRPr="00F02B5A">
        <w:t xml:space="preserve">dopted by the Committee at its </w:t>
      </w:r>
      <w:r w:rsidR="00DE1003">
        <w:t xml:space="preserve">sixtieth </w:t>
      </w:r>
      <w:r w:rsidRPr="00F02B5A">
        <w:t>session</w:t>
      </w:r>
      <w:r>
        <w:t xml:space="preserve">, held from </w:t>
      </w:r>
      <w:r w:rsidR="00DE1003">
        <w:t>20</w:t>
      </w:r>
      <w:r w:rsidR="006B10F0">
        <w:t xml:space="preserve"> </w:t>
      </w:r>
      <w:r w:rsidR="00DE1003">
        <w:t>to 24 February 2017</w:t>
      </w:r>
      <w:r>
        <w:t xml:space="preserve">, was prepared pursuant to the Committee’s practice on the adoption of statements (see </w:t>
      </w:r>
      <w:r w:rsidRPr="0047012F">
        <w:rPr>
          <w:i/>
        </w:rPr>
        <w:t>Official Records of the Economic and Social Council</w:t>
      </w:r>
      <w:r w:rsidRPr="0047012F">
        <w:t xml:space="preserve">, </w:t>
      </w:r>
      <w:r w:rsidRPr="0047012F">
        <w:rPr>
          <w:i/>
          <w:iCs/>
        </w:rPr>
        <w:t>2011</w:t>
      </w:r>
      <w:r w:rsidRPr="0047012F">
        <w:t xml:space="preserve">, </w:t>
      </w:r>
      <w:r w:rsidRPr="0047012F">
        <w:rPr>
          <w:i/>
        </w:rPr>
        <w:t>Supplement No. 2</w:t>
      </w:r>
      <w:r w:rsidRPr="0047012F">
        <w:t xml:space="preserve"> (E/2011/22), chap. II,</w:t>
      </w:r>
      <w:r>
        <w:t xml:space="preserve"> sect. K)</w:t>
      </w:r>
      <w:r w:rsidRPr="0047012F">
        <w:t>.</w:t>
      </w:r>
    </w:p>
  </w:footnote>
  <w:footnote w:id="2">
    <w:p w:rsidR="00C47C6C" w:rsidRPr="00D50718" w:rsidRDefault="00C47C6C" w:rsidP="00DE1003">
      <w:pPr>
        <w:pStyle w:val="FootnoteText"/>
        <w:ind w:firstLine="0"/>
        <w:rPr>
          <w:lang w:val="nl-NL"/>
        </w:rPr>
      </w:pPr>
      <w:r w:rsidRPr="00D50718">
        <w:rPr>
          <w:rStyle w:val="FootnoteReference"/>
          <w:szCs w:val="18"/>
        </w:rPr>
        <w:footnoteRef/>
      </w:r>
      <w:r w:rsidRPr="00345517">
        <w:rPr>
          <w:lang w:val="es-ES"/>
        </w:rPr>
        <w:t xml:space="preserve"> A/71/L.1, para. 5.</w:t>
      </w:r>
    </w:p>
  </w:footnote>
  <w:footnote w:id="3">
    <w:p w:rsidR="00C47C6C" w:rsidRPr="00D50718" w:rsidRDefault="00C47C6C" w:rsidP="00DE1003">
      <w:pPr>
        <w:pStyle w:val="FootnoteText"/>
        <w:ind w:firstLine="0"/>
        <w:rPr>
          <w:lang w:val="nl-NL"/>
        </w:rPr>
      </w:pPr>
      <w:r w:rsidRPr="00D50718">
        <w:rPr>
          <w:rStyle w:val="FootnoteReference"/>
          <w:szCs w:val="18"/>
        </w:rPr>
        <w:footnoteRef/>
      </w:r>
      <w:r w:rsidRPr="00345517">
        <w:rPr>
          <w:lang w:val="es-ES"/>
        </w:rPr>
        <w:t xml:space="preserve"> </w:t>
      </w:r>
      <w:r w:rsidRPr="00D50718">
        <w:rPr>
          <w:lang w:val="nl-NL"/>
        </w:rPr>
        <w:t>Id., para. 6.</w:t>
      </w:r>
    </w:p>
  </w:footnote>
  <w:footnote w:id="4">
    <w:p w:rsidR="00C47C6C" w:rsidRPr="008C6C5C" w:rsidRDefault="00C47C6C" w:rsidP="00DE1003">
      <w:pPr>
        <w:pStyle w:val="FootnoteText"/>
        <w:ind w:firstLine="0"/>
      </w:pPr>
      <w:r w:rsidRPr="00D50718">
        <w:rPr>
          <w:rStyle w:val="FootnoteReference"/>
          <w:szCs w:val="18"/>
        </w:rPr>
        <w:footnoteRef/>
      </w:r>
      <w:r w:rsidRPr="00D50718">
        <w:t xml:space="preserve"> Convention Relating to the Status of Refugees, adopted on 28 July 1951 by the United Nations Conference of Plenipotentiaries on the Status of Refugees and Stateless Persons convened under General Assembly Resolution 429 (V) of 14 December 1950, entered into force on 22 April 1954, U.N.T.S., vol. 189, p. 150; Protocol Relating to th</w:t>
      </w:r>
      <w:r w:rsidRPr="00376D59">
        <w:t>e Status of Refugees, signed in New York on 31 January 1967, U.N.T.S., vol.</w:t>
      </w:r>
      <w:r w:rsidRPr="008C6C5C">
        <w:t xml:space="preserve"> 606, p. 267..</w:t>
      </w:r>
    </w:p>
  </w:footnote>
  <w:footnote w:id="5">
    <w:p w:rsidR="00C47C6C" w:rsidRPr="00D50718" w:rsidRDefault="00C47C6C" w:rsidP="00DE1003">
      <w:pPr>
        <w:pStyle w:val="FootnoteText"/>
        <w:ind w:firstLine="0"/>
        <w:rPr>
          <w:lang w:val="nl-NL"/>
        </w:rPr>
      </w:pPr>
      <w:r w:rsidRPr="00D50718">
        <w:rPr>
          <w:rStyle w:val="FootnoteReference"/>
          <w:szCs w:val="18"/>
        </w:rPr>
        <w:footnoteRef/>
      </w:r>
      <w:r w:rsidRPr="00D50718">
        <w:t xml:space="preserve"> General Comment No. 3 (1990): The nature of States parties' obligations (E/1991/3), </w:t>
      </w:r>
      <w:r w:rsidRPr="00345517">
        <w:rPr>
          <w:lang w:eastAsia="ja-JP"/>
        </w:rPr>
        <w:t>para. 5.</w:t>
      </w:r>
    </w:p>
  </w:footnote>
  <w:footnote w:id="6">
    <w:p w:rsidR="00C47C6C" w:rsidRPr="00D50718" w:rsidRDefault="00C47C6C" w:rsidP="00DE1003">
      <w:pPr>
        <w:pStyle w:val="FootnoteText"/>
        <w:ind w:firstLine="0"/>
        <w:rPr>
          <w:lang w:val="nl-NL"/>
        </w:rPr>
      </w:pPr>
      <w:r w:rsidRPr="00D50718">
        <w:rPr>
          <w:rStyle w:val="FootnoteReference"/>
          <w:szCs w:val="18"/>
        </w:rPr>
        <w:footnoteRef/>
      </w:r>
      <w:r w:rsidRPr="00D50718">
        <w:t xml:space="preserve"> </w:t>
      </w:r>
      <w:r w:rsidRPr="00345517">
        <w:rPr>
          <w:lang w:eastAsia="ja-JP"/>
        </w:rPr>
        <w:t>Id., para. 2.</w:t>
      </w:r>
    </w:p>
  </w:footnote>
  <w:footnote w:id="7">
    <w:p w:rsidR="00C47C6C" w:rsidRPr="00D50718" w:rsidRDefault="00C47C6C" w:rsidP="00DE1003">
      <w:pPr>
        <w:pStyle w:val="FootnoteText"/>
        <w:ind w:firstLine="0"/>
        <w:rPr>
          <w:lang w:val="nl-NL"/>
        </w:rPr>
      </w:pPr>
      <w:r w:rsidRPr="00D50718">
        <w:rPr>
          <w:rStyle w:val="FootnoteReference"/>
          <w:szCs w:val="18"/>
        </w:rPr>
        <w:footnoteRef/>
      </w:r>
      <w:r w:rsidRPr="00D50718">
        <w:t xml:space="preserve"> General Comment No. 20 (2009): Non-discrimination in economic, social and cultural rights (art. 2, para. 2 of the International Covenant on Economic, Social and Cultural Rights) (</w:t>
      </w:r>
      <w:r w:rsidRPr="00D50718">
        <w:fldChar w:fldCharType="begin"/>
      </w:r>
      <w:r w:rsidRPr="000F28C8">
        <w:instrText xml:space="preserve"> FILLIN "Symbol" \* MERGEFORMAT </w:instrText>
      </w:r>
      <w:r w:rsidRPr="00D50718">
        <w:fldChar w:fldCharType="separate"/>
      </w:r>
      <w:r w:rsidRPr="00D50718">
        <w:t>E/C.12/GC/20</w:t>
      </w:r>
      <w:r w:rsidRPr="00D50718">
        <w:fldChar w:fldCharType="end"/>
      </w:r>
      <w:r w:rsidRPr="00D50718">
        <w:t>), para. 13.</w:t>
      </w:r>
    </w:p>
  </w:footnote>
  <w:footnote w:id="8">
    <w:p w:rsidR="00C47C6C" w:rsidRPr="00D50718" w:rsidRDefault="00C47C6C" w:rsidP="00DE1003">
      <w:pPr>
        <w:pStyle w:val="FootnoteText"/>
        <w:ind w:firstLine="0"/>
        <w:rPr>
          <w:lang w:val="nl-NL"/>
        </w:rPr>
      </w:pPr>
      <w:r w:rsidRPr="00D50718">
        <w:rPr>
          <w:rStyle w:val="FootnoteReference"/>
          <w:szCs w:val="18"/>
        </w:rPr>
        <w:footnoteRef/>
      </w:r>
      <w:r w:rsidRPr="00D50718">
        <w:t xml:space="preserve"> General Comment No. 20 (2009): Non-discrimination in economic, social and cultural rights (art. 2, para. 2 of the International Covenant on Economic, Social and Cultural Rights) (</w:t>
      </w:r>
      <w:r w:rsidRPr="00D50718">
        <w:fldChar w:fldCharType="begin"/>
      </w:r>
      <w:r w:rsidRPr="000F28C8">
        <w:instrText xml:space="preserve"> FILLIN "Symbol" \* MERGEFORMAT </w:instrText>
      </w:r>
      <w:r w:rsidRPr="00D50718">
        <w:fldChar w:fldCharType="separate"/>
      </w:r>
      <w:r w:rsidRPr="00D50718">
        <w:t>E/C.12/GC/20</w:t>
      </w:r>
      <w:r w:rsidRPr="00D50718">
        <w:fldChar w:fldCharType="end"/>
      </w:r>
      <w:r w:rsidRPr="00D50718">
        <w:t>), para. 30 ("</w:t>
      </w:r>
      <w:r w:rsidRPr="000F28C8">
        <w:t>The Covenant rights apply to everyone including non-nationals, such as refugees, asylum-seekers, stateless persons, migrant workers and victims of international trafficking, regardless of legal status and documentation")</w:t>
      </w:r>
      <w:r w:rsidRPr="00D50718">
        <w:t>.</w:t>
      </w:r>
    </w:p>
  </w:footnote>
  <w:footnote w:id="9">
    <w:p w:rsidR="00C47C6C" w:rsidRPr="00D50718" w:rsidRDefault="00C47C6C" w:rsidP="00DE1003">
      <w:pPr>
        <w:pStyle w:val="FootnoteText"/>
        <w:ind w:firstLine="0"/>
        <w:rPr>
          <w:lang w:val="nl-NL"/>
        </w:rPr>
      </w:pPr>
      <w:r w:rsidRPr="00D50718">
        <w:rPr>
          <w:rStyle w:val="FootnoteReference"/>
          <w:szCs w:val="18"/>
        </w:rPr>
        <w:footnoteRef/>
      </w:r>
      <w:r w:rsidRPr="00D50718">
        <w:t xml:space="preserve"> General Comment No. 18 (2006): The right to work (E/C.12/GC/18), </w:t>
      </w:r>
      <w:r w:rsidRPr="00345517">
        <w:rPr>
          <w:color w:val="000000"/>
          <w:lang w:eastAsia="ja-JP"/>
        </w:rPr>
        <w:t>para. 31.</w:t>
      </w:r>
    </w:p>
  </w:footnote>
  <w:footnote w:id="10">
    <w:p w:rsidR="00C47C6C" w:rsidRPr="00D50718" w:rsidRDefault="00C47C6C" w:rsidP="00DE1003">
      <w:pPr>
        <w:pStyle w:val="FootnoteText"/>
        <w:ind w:firstLine="0"/>
        <w:rPr>
          <w:lang w:val="nl-NL"/>
        </w:rPr>
      </w:pPr>
      <w:r w:rsidRPr="00D50718">
        <w:rPr>
          <w:rStyle w:val="FootnoteReference"/>
          <w:szCs w:val="18"/>
        </w:rPr>
        <w:footnoteRef/>
      </w:r>
      <w:r w:rsidRPr="00D50718">
        <w:t xml:space="preserve"> See, e.g., General Comment No. 15 (2002): The right to water (E/C.12/2002/11), para. 16 (</w:t>
      </w:r>
      <w:r w:rsidRPr="00345517">
        <w:rPr>
          <w:lang w:eastAsia="ja-JP"/>
        </w:rPr>
        <w:t>"States parties should give special attention to those individuals and groups who have traditionally faced difficulties in exercising this right, including women, children, minority groups, indigenous peoples, refugees, asylum seekers, internally displaced persons, migrant workers, prisoners and detainees")</w:t>
      </w:r>
      <w:r w:rsidRPr="00D50718">
        <w:t>.</w:t>
      </w:r>
    </w:p>
  </w:footnote>
  <w:footnote w:id="11">
    <w:p w:rsidR="00C47C6C" w:rsidRPr="00D50718" w:rsidRDefault="00C47C6C" w:rsidP="00DE1003">
      <w:pPr>
        <w:pStyle w:val="FootnoteText"/>
        <w:ind w:firstLine="0"/>
        <w:rPr>
          <w:lang w:val="nl-NL"/>
        </w:rPr>
      </w:pPr>
      <w:r w:rsidRPr="00D50718">
        <w:rPr>
          <w:rStyle w:val="FootnoteReference"/>
          <w:szCs w:val="18"/>
        </w:rPr>
        <w:footnoteRef/>
      </w:r>
      <w:r w:rsidRPr="00D50718">
        <w:t xml:space="preserve"> General Comment No. 12 (2000): The right to adequate food (E/C.12/1999/5),</w:t>
      </w:r>
      <w:r w:rsidRPr="00D50718">
        <w:rPr>
          <w:color w:val="000000" w:themeColor="text1"/>
        </w:rPr>
        <w:t xml:space="preserve"> paras. 6, 14 and 17.</w:t>
      </w:r>
    </w:p>
  </w:footnote>
  <w:footnote w:id="12">
    <w:p w:rsidR="00C47C6C" w:rsidRPr="00D50718" w:rsidRDefault="00C47C6C" w:rsidP="00DE1003">
      <w:pPr>
        <w:pStyle w:val="FootnoteText"/>
        <w:ind w:firstLine="0"/>
        <w:rPr>
          <w:lang w:val="nl-NL"/>
        </w:rPr>
      </w:pPr>
      <w:r w:rsidRPr="00D50718">
        <w:rPr>
          <w:rStyle w:val="FootnoteReference"/>
          <w:szCs w:val="18"/>
        </w:rPr>
        <w:footnoteRef/>
      </w:r>
      <w:r w:rsidRPr="00D50718">
        <w:t xml:space="preserve"> General Comment No. 15 (2002): The right to water (E/C.12/2002/11), para. 37.</w:t>
      </w:r>
    </w:p>
  </w:footnote>
  <w:footnote w:id="13">
    <w:p w:rsidR="00C47C6C" w:rsidRPr="00D50718" w:rsidRDefault="00C47C6C" w:rsidP="00DE1003">
      <w:pPr>
        <w:pStyle w:val="FootnoteText"/>
        <w:ind w:firstLine="0"/>
        <w:rPr>
          <w:lang w:val="nl-NL"/>
        </w:rPr>
      </w:pPr>
      <w:r w:rsidRPr="00D50718">
        <w:rPr>
          <w:rStyle w:val="FootnoteReference"/>
          <w:szCs w:val="18"/>
        </w:rPr>
        <w:footnoteRef/>
      </w:r>
      <w:r w:rsidRPr="00D50718">
        <w:t xml:space="preserve"> General Comment No. 14 (2000): The right to the highest attainable standard of health (E/C.12/2000/4)</w:t>
      </w:r>
      <w:r w:rsidRPr="00345517">
        <w:rPr>
          <w:color w:val="000000"/>
          <w:lang w:eastAsia="ja-JP"/>
        </w:rPr>
        <w:t>, para. 43.</w:t>
      </w:r>
    </w:p>
  </w:footnote>
  <w:footnote w:id="14">
    <w:p w:rsidR="00C47C6C" w:rsidRPr="00D50718" w:rsidRDefault="00C47C6C" w:rsidP="00DE1003">
      <w:pPr>
        <w:pStyle w:val="FootnoteText"/>
        <w:ind w:firstLine="0"/>
        <w:rPr>
          <w:lang w:val="nl-NL"/>
        </w:rPr>
      </w:pPr>
      <w:r w:rsidRPr="00D50718">
        <w:rPr>
          <w:rStyle w:val="FootnoteReference"/>
          <w:szCs w:val="18"/>
        </w:rPr>
        <w:footnoteRef/>
      </w:r>
      <w:r w:rsidRPr="00D50718">
        <w:t xml:space="preserve"> General Comment No. 13 (2000): The right to education</w:t>
      </w:r>
      <w:r w:rsidRPr="00345517">
        <w:rPr>
          <w:color w:val="000000"/>
          <w:lang w:eastAsia="ja-JP"/>
        </w:rPr>
        <w:t xml:space="preserve"> (E/C.12/1999/10), para. 57.</w:t>
      </w:r>
    </w:p>
  </w:footnote>
  <w:footnote w:id="15">
    <w:p w:rsidR="00C47C6C" w:rsidRPr="00D50718" w:rsidRDefault="00C47C6C" w:rsidP="00DE1003">
      <w:pPr>
        <w:pStyle w:val="FootnoteText"/>
        <w:ind w:firstLine="0"/>
        <w:rPr>
          <w:lang w:val="nl-NL"/>
        </w:rPr>
      </w:pPr>
      <w:r w:rsidRPr="00D50718">
        <w:rPr>
          <w:rStyle w:val="FootnoteReference"/>
          <w:szCs w:val="18"/>
        </w:rPr>
        <w:footnoteRef/>
      </w:r>
      <w:r w:rsidRPr="00D50718">
        <w:t xml:space="preserve"> General Comment No. 3 (1990): The nature of States parties' obligations (E/1991/3), para. 10.</w:t>
      </w:r>
    </w:p>
  </w:footnote>
  <w:footnote w:id="16">
    <w:p w:rsidR="00C47C6C" w:rsidRPr="000F28C8" w:rsidRDefault="00C47C6C" w:rsidP="00DE1003">
      <w:pPr>
        <w:pStyle w:val="FootnoteText"/>
        <w:ind w:firstLine="0"/>
        <w:rPr>
          <w:lang w:val="nl-NL"/>
        </w:rPr>
      </w:pPr>
      <w:r w:rsidRPr="000F28C8">
        <w:rPr>
          <w:rStyle w:val="FootnoteReference"/>
          <w:szCs w:val="18"/>
        </w:rPr>
        <w:footnoteRef/>
      </w:r>
      <w:r w:rsidRPr="000F28C8">
        <w:t xml:space="preserve"> </w:t>
      </w:r>
      <w:r w:rsidRPr="00345517">
        <w:rPr>
          <w:lang w:eastAsia="ja-JP"/>
        </w:rPr>
        <w:t>E/C.12/2001/10, para. 18.</w:t>
      </w:r>
    </w:p>
  </w:footnote>
  <w:footnote w:id="17">
    <w:p w:rsidR="00C47C6C" w:rsidRPr="00D50718" w:rsidRDefault="00C47C6C" w:rsidP="00DE1003">
      <w:pPr>
        <w:pStyle w:val="FootnoteText"/>
        <w:ind w:firstLine="0"/>
        <w:rPr>
          <w:lang w:val="nl-NL"/>
        </w:rPr>
      </w:pPr>
      <w:r w:rsidRPr="00D50718">
        <w:rPr>
          <w:rStyle w:val="FootnoteReference"/>
          <w:szCs w:val="18"/>
        </w:rPr>
        <w:footnoteRef/>
      </w:r>
      <w:r w:rsidRPr="00D50718">
        <w:t xml:space="preserve"> General Comment No. 14: The right to the highest attainable standard of health (E/C.12/2000/4)</w:t>
      </w:r>
      <w:r w:rsidRPr="00345517">
        <w:rPr>
          <w:lang w:eastAsia="ja-JP"/>
        </w:rPr>
        <w:t xml:space="preserve">, para. </w:t>
      </w:r>
      <w:r w:rsidRPr="00345517">
        <w:rPr>
          <w:lang w:val="es-ES" w:eastAsia="ja-JP"/>
        </w:rPr>
        <w:t>34.</w:t>
      </w:r>
    </w:p>
  </w:footnote>
  <w:footnote w:id="18">
    <w:p w:rsidR="00C47C6C" w:rsidRPr="00345517" w:rsidRDefault="00C47C6C" w:rsidP="00DE1003">
      <w:pPr>
        <w:pStyle w:val="FootnoteText"/>
        <w:ind w:firstLine="0"/>
        <w:rPr>
          <w:lang w:val="es-ES" w:eastAsia="ja-JP"/>
        </w:rPr>
      </w:pPr>
      <w:r w:rsidRPr="00D50718">
        <w:rPr>
          <w:rStyle w:val="FootnoteReference"/>
          <w:szCs w:val="18"/>
        </w:rPr>
        <w:footnoteRef/>
      </w:r>
      <w:r w:rsidRPr="00345517">
        <w:rPr>
          <w:lang w:val="es-ES"/>
        </w:rPr>
        <w:t xml:space="preserve"> </w:t>
      </w:r>
      <w:r w:rsidRPr="00345517">
        <w:rPr>
          <w:bCs/>
          <w:lang w:val="es-ES"/>
        </w:rPr>
        <w:t xml:space="preserve">E/C.12/GC/23, para. 47, e). </w:t>
      </w:r>
    </w:p>
  </w:footnote>
  <w:footnote w:id="19">
    <w:p w:rsidR="00C47C6C" w:rsidRPr="000F28C8" w:rsidRDefault="00C47C6C" w:rsidP="00DE1003">
      <w:pPr>
        <w:pStyle w:val="FootnoteText"/>
        <w:ind w:firstLine="0"/>
        <w:rPr>
          <w:lang w:val="nl-NL"/>
        </w:rPr>
      </w:pPr>
      <w:r w:rsidRPr="000F28C8">
        <w:rPr>
          <w:rStyle w:val="FootnoteReference"/>
          <w:szCs w:val="18"/>
        </w:rPr>
        <w:footnoteRef/>
      </w:r>
      <w:r w:rsidRPr="00345517">
        <w:rPr>
          <w:lang w:val="es-ES"/>
        </w:rPr>
        <w:t xml:space="preserve"> CERD/C/64/Misc.11/rev.3, paras. </w:t>
      </w:r>
      <w:r w:rsidRPr="000F28C8">
        <w:t>29 and 32.</w:t>
      </w:r>
    </w:p>
  </w:footnote>
  <w:footnote w:id="20">
    <w:p w:rsidR="00C47C6C" w:rsidRPr="00D50718" w:rsidRDefault="00C47C6C" w:rsidP="00DE1003">
      <w:pPr>
        <w:pStyle w:val="FootnoteText"/>
        <w:ind w:firstLine="0"/>
        <w:rPr>
          <w:lang w:val="nl-NL"/>
        </w:rPr>
      </w:pPr>
      <w:r w:rsidRPr="00D50718">
        <w:rPr>
          <w:rStyle w:val="FootnoteReference"/>
          <w:szCs w:val="18"/>
        </w:rPr>
        <w:footnoteRef/>
      </w:r>
      <w:r w:rsidRPr="00D50718">
        <w:t xml:space="preserve"> </w:t>
      </w:r>
      <w:r w:rsidRPr="00345517">
        <w:rPr>
          <w:lang w:eastAsia="ja-JP"/>
        </w:rPr>
        <w:t>General Comment No. 19 (2007): The right to social security (E/C.12/GC/19)</w:t>
      </w:r>
      <w:r w:rsidRPr="00D50718">
        <w:rPr>
          <w:lang w:val="nl-NL"/>
        </w:rPr>
        <w:t xml:space="preserve">, </w:t>
      </w:r>
      <w:r w:rsidRPr="00345517">
        <w:rPr>
          <w:lang w:eastAsia="ja-JP"/>
        </w:rPr>
        <w:t xml:space="preserve">para. </w:t>
      </w:r>
      <w:r w:rsidRPr="00D50718">
        <w:rPr>
          <w:lang w:val="fr-FR" w:eastAsia="ja-JP"/>
        </w:rPr>
        <w:t>37.</w:t>
      </w:r>
    </w:p>
  </w:footnote>
  <w:footnote w:id="21">
    <w:p w:rsidR="00C47C6C" w:rsidRPr="00D50718" w:rsidRDefault="00C47C6C" w:rsidP="00DE1003">
      <w:pPr>
        <w:pStyle w:val="FootnoteText"/>
        <w:ind w:firstLine="0"/>
        <w:rPr>
          <w:lang w:val="nl-NL"/>
        </w:rPr>
      </w:pPr>
      <w:r w:rsidRPr="00D50718">
        <w:rPr>
          <w:rStyle w:val="FootnoteReference"/>
          <w:szCs w:val="18"/>
        </w:rPr>
        <w:footnoteRef/>
      </w:r>
      <w:r w:rsidRPr="00D50718">
        <w:t xml:space="preserve"> Charter of the United Nations, art. 56.</w:t>
      </w:r>
    </w:p>
  </w:footnote>
  <w:footnote w:id="22">
    <w:p w:rsidR="00C47C6C" w:rsidRPr="000F28C8" w:rsidRDefault="00C47C6C" w:rsidP="00DE1003">
      <w:pPr>
        <w:pStyle w:val="FootnoteText"/>
        <w:ind w:firstLine="0"/>
        <w:rPr>
          <w:lang w:val="nl-NL"/>
        </w:rPr>
      </w:pPr>
      <w:r w:rsidRPr="000F28C8">
        <w:rPr>
          <w:rStyle w:val="FootnoteReference"/>
          <w:szCs w:val="18"/>
        </w:rPr>
        <w:footnoteRef/>
      </w:r>
      <w:r w:rsidRPr="000F28C8">
        <w:t xml:space="preserve"> </w:t>
      </w:r>
      <w:r w:rsidRPr="000F28C8">
        <w:rPr>
          <w:lang w:val="fr-FR" w:eastAsia="ja-JP"/>
        </w:rPr>
        <w:t>E/C.12/2001/10, para.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19F" w:rsidRPr="00693289" w:rsidRDefault="001D413B" w:rsidP="00693289">
    <w:pPr>
      <w:pStyle w:val="Header"/>
    </w:pPr>
    <w:r>
      <w:t>E/C.12/2017</w:t>
    </w:r>
    <w:r w:rsidR="00693289" w:rsidRPr="00693289">
      <w:t>/</w:t>
    </w:r>
    <w: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19F" w:rsidRPr="001D413B" w:rsidRDefault="001D413B" w:rsidP="001D413B">
    <w:pPr>
      <w:pStyle w:val="Header"/>
      <w:jc w:val="right"/>
    </w:pPr>
    <w:r w:rsidRPr="001D413B">
      <w:t>E/C.12/2017/1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B318C0"/>
    <w:multiLevelType w:val="hybridMultilevel"/>
    <w:tmpl w:val="80D613A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991499"/>
    <w:multiLevelType w:val="hybridMultilevel"/>
    <w:tmpl w:val="9BD009B6"/>
    <w:lvl w:ilvl="0" w:tplc="5578373E">
      <w:start w:val="1"/>
      <w:numFmt w:val="decimal"/>
      <w:lvlText w:val="%1."/>
      <w:lvlJc w:val="left"/>
      <w:pPr>
        <w:ind w:left="4330" w:hanging="360"/>
      </w:pPr>
      <w:rPr>
        <w:b w:val="0"/>
        <w:color w:val="auto"/>
      </w:rPr>
    </w:lvl>
    <w:lvl w:ilvl="1" w:tplc="C438138C">
      <w:start w:val="1"/>
      <w:numFmt w:val="lowerLetter"/>
      <w:lvlText w:val="%2)"/>
      <w:lvlJc w:val="left"/>
      <w:pPr>
        <w:ind w:left="5551" w:hanging="360"/>
      </w:pPr>
      <w:rPr>
        <w:b w:val="0"/>
      </w:rPr>
    </w:lvl>
    <w:lvl w:ilvl="2" w:tplc="0409001B">
      <w:start w:val="1"/>
      <w:numFmt w:val="lowerRoman"/>
      <w:lvlText w:val="%3."/>
      <w:lvlJc w:val="right"/>
      <w:pPr>
        <w:ind w:left="6271" w:hanging="180"/>
      </w:pPr>
    </w:lvl>
    <w:lvl w:ilvl="3" w:tplc="0409000F">
      <w:start w:val="1"/>
      <w:numFmt w:val="decimal"/>
      <w:lvlText w:val="%4."/>
      <w:lvlJc w:val="left"/>
      <w:pPr>
        <w:ind w:left="6991" w:hanging="360"/>
      </w:pPr>
    </w:lvl>
    <w:lvl w:ilvl="4" w:tplc="04090019">
      <w:start w:val="1"/>
      <w:numFmt w:val="lowerLetter"/>
      <w:lvlText w:val="%5."/>
      <w:lvlJc w:val="left"/>
      <w:pPr>
        <w:ind w:left="7711" w:hanging="360"/>
      </w:pPr>
    </w:lvl>
    <w:lvl w:ilvl="5" w:tplc="0409001B">
      <w:start w:val="1"/>
      <w:numFmt w:val="lowerRoman"/>
      <w:lvlText w:val="%6."/>
      <w:lvlJc w:val="right"/>
      <w:pPr>
        <w:ind w:left="8431" w:hanging="180"/>
      </w:pPr>
    </w:lvl>
    <w:lvl w:ilvl="6" w:tplc="0409000F">
      <w:start w:val="1"/>
      <w:numFmt w:val="decimal"/>
      <w:lvlText w:val="%7."/>
      <w:lvlJc w:val="left"/>
      <w:pPr>
        <w:ind w:left="9151" w:hanging="360"/>
      </w:pPr>
    </w:lvl>
    <w:lvl w:ilvl="7" w:tplc="04090019">
      <w:start w:val="1"/>
      <w:numFmt w:val="lowerLetter"/>
      <w:lvlText w:val="%8."/>
      <w:lvlJc w:val="left"/>
      <w:pPr>
        <w:ind w:left="9871" w:hanging="360"/>
      </w:pPr>
    </w:lvl>
    <w:lvl w:ilvl="8" w:tplc="0409001B">
      <w:start w:val="1"/>
      <w:numFmt w:val="lowerRoman"/>
      <w:lvlText w:val="%9."/>
      <w:lvlJc w:val="right"/>
      <w:pPr>
        <w:ind w:left="10591" w:hanging="180"/>
      </w:pPr>
    </w:lvl>
  </w:abstractNum>
  <w:abstractNum w:abstractNumId="6" w15:restartNumberingAfterBreak="0">
    <w:nsid w:val="4C3A01DA"/>
    <w:multiLevelType w:val="hybridMultilevel"/>
    <w:tmpl w:val="6CD8266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5218272E"/>
    <w:multiLevelType w:val="hybridMultilevel"/>
    <w:tmpl w:val="B8760DE8"/>
    <w:lvl w:ilvl="0" w:tplc="208AD89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8"/>
  </w:num>
  <w:num w:numId="5">
    <w:abstractNumId w:val="9"/>
  </w:num>
  <w:num w:numId="6">
    <w:abstractNumId w:val="10"/>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6E1"/>
    <w:rsid w:val="00046E92"/>
    <w:rsid w:val="00053DD2"/>
    <w:rsid w:val="000547EC"/>
    <w:rsid w:val="00055D8E"/>
    <w:rsid w:val="00081247"/>
    <w:rsid w:val="000B5F04"/>
    <w:rsid w:val="000D3665"/>
    <w:rsid w:val="00111E90"/>
    <w:rsid w:val="00130F4B"/>
    <w:rsid w:val="0014613A"/>
    <w:rsid w:val="00177FF8"/>
    <w:rsid w:val="001D413B"/>
    <w:rsid w:val="0021233C"/>
    <w:rsid w:val="002134B0"/>
    <w:rsid w:val="00216D8E"/>
    <w:rsid w:val="00247E2C"/>
    <w:rsid w:val="002567EB"/>
    <w:rsid w:val="002B0A46"/>
    <w:rsid w:val="002D6C53"/>
    <w:rsid w:val="002F5595"/>
    <w:rsid w:val="00334F6A"/>
    <w:rsid w:val="00342AC8"/>
    <w:rsid w:val="003B4550"/>
    <w:rsid w:val="0042419F"/>
    <w:rsid w:val="00427E66"/>
    <w:rsid w:val="00445661"/>
    <w:rsid w:val="00461253"/>
    <w:rsid w:val="005042C2"/>
    <w:rsid w:val="005A4085"/>
    <w:rsid w:val="00620920"/>
    <w:rsid w:val="00671529"/>
    <w:rsid w:val="006722E4"/>
    <w:rsid w:val="00693289"/>
    <w:rsid w:val="006B10F0"/>
    <w:rsid w:val="006C5B4A"/>
    <w:rsid w:val="006C6A01"/>
    <w:rsid w:val="006E0B38"/>
    <w:rsid w:val="006E6C31"/>
    <w:rsid w:val="006F2D02"/>
    <w:rsid w:val="00701B61"/>
    <w:rsid w:val="007268F9"/>
    <w:rsid w:val="00733EB4"/>
    <w:rsid w:val="007C2BD5"/>
    <w:rsid w:val="007C52B0"/>
    <w:rsid w:val="007D5AF4"/>
    <w:rsid w:val="007D64FD"/>
    <w:rsid w:val="00804992"/>
    <w:rsid w:val="00840B35"/>
    <w:rsid w:val="0086281B"/>
    <w:rsid w:val="008C7B2B"/>
    <w:rsid w:val="00935639"/>
    <w:rsid w:val="009411B4"/>
    <w:rsid w:val="009A46B4"/>
    <w:rsid w:val="009D0139"/>
    <w:rsid w:val="009F5CDC"/>
    <w:rsid w:val="00A00DE1"/>
    <w:rsid w:val="00A775CF"/>
    <w:rsid w:val="00A9388D"/>
    <w:rsid w:val="00AA131C"/>
    <w:rsid w:val="00B06045"/>
    <w:rsid w:val="00B50088"/>
    <w:rsid w:val="00B57FDC"/>
    <w:rsid w:val="00B6795B"/>
    <w:rsid w:val="00B8271A"/>
    <w:rsid w:val="00B9134A"/>
    <w:rsid w:val="00BA732F"/>
    <w:rsid w:val="00BE143E"/>
    <w:rsid w:val="00C35A27"/>
    <w:rsid w:val="00C47C6C"/>
    <w:rsid w:val="00C55C7E"/>
    <w:rsid w:val="00C961AC"/>
    <w:rsid w:val="00CC307B"/>
    <w:rsid w:val="00D51DC9"/>
    <w:rsid w:val="00DC118F"/>
    <w:rsid w:val="00DD615E"/>
    <w:rsid w:val="00DE1003"/>
    <w:rsid w:val="00E02C2B"/>
    <w:rsid w:val="00EC12EE"/>
    <w:rsid w:val="00ED6C48"/>
    <w:rsid w:val="00F33995"/>
    <w:rsid w:val="00F36CC9"/>
    <w:rsid w:val="00F65F5D"/>
    <w:rsid w:val="00F86A3A"/>
    <w:rsid w:val="00FA1D66"/>
    <w:rsid w:val="00FD06E1"/>
    <w:rsid w:val="00FF59D6"/>
    <w:rsid w:val="00FF5C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9DE786-E442-4347-81D8-21C60333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08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callout,Footnote Refernece,Footnote Reference Number,Fußnotenzeichen_Raxen,BVI fnr,Fago Fußnotenzeichen,Appel note de bas de p.,ftref,referencia nota al pie,4_Footnote text,Footnote text,Footnotes refss,Texto de nota al pie,f,fr"/>
    <w:link w:val="BVIfnrCharCharCharCharCharCharCharZchnCharCharCharCharCharChar"/>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6C6A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A01"/>
    <w:rPr>
      <w:rFonts w:ascii="Tahoma" w:eastAsia="Times New Roman" w:hAnsi="Tahoma" w:cs="Tahoma"/>
      <w:sz w:val="16"/>
      <w:szCs w:val="16"/>
      <w:lang w:eastAsia="en-US"/>
    </w:rPr>
  </w:style>
  <w:style w:type="character" w:customStyle="1" w:styleId="SingleTxtGChar">
    <w:name w:val="_ Single Txt_G Char"/>
    <w:link w:val="SingleTxtG"/>
    <w:locked/>
    <w:rsid w:val="00B57FDC"/>
    <w:rPr>
      <w:rFonts w:ascii="Times New Roman" w:hAnsi="Times New Roman" w:cs="Times New Roman"/>
      <w:sz w:val="20"/>
      <w:szCs w:val="20"/>
    </w:rPr>
  </w:style>
  <w:style w:type="paragraph" w:customStyle="1" w:styleId="BVIfnrCharCharCharCharCharCharCharZchnCharCharCharCharCharChar">
    <w:name w:val="BVI fnr Char Char Char Char Char Char Char Zchn Char Char Char Char Char Char"/>
    <w:aliases w:val="ftref Char,Footnote Reference Char,ftref Char Char Char"/>
    <w:basedOn w:val="Normal"/>
    <w:link w:val="FootnoteReference"/>
    <w:rsid w:val="00130F4B"/>
    <w:pPr>
      <w:suppressAutoHyphens w:val="0"/>
      <w:spacing w:after="160" w:line="240" w:lineRule="exact"/>
    </w:pPr>
    <w:rPr>
      <w:rFonts w:eastAsia="SimSu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5668">
      <w:bodyDiv w:val="1"/>
      <w:marLeft w:val="0"/>
      <w:marRight w:val="0"/>
      <w:marTop w:val="0"/>
      <w:marBottom w:val="0"/>
      <w:divBdr>
        <w:top w:val="none" w:sz="0" w:space="0" w:color="auto"/>
        <w:left w:val="none" w:sz="0" w:space="0" w:color="auto"/>
        <w:bottom w:val="none" w:sz="0" w:space="0" w:color="auto"/>
        <w:right w:val="none" w:sz="0" w:space="0" w:color="auto"/>
      </w:divBdr>
    </w:div>
    <w:div w:id="331183621">
      <w:bodyDiv w:val="1"/>
      <w:marLeft w:val="0"/>
      <w:marRight w:val="0"/>
      <w:marTop w:val="0"/>
      <w:marBottom w:val="0"/>
      <w:divBdr>
        <w:top w:val="none" w:sz="0" w:space="0" w:color="auto"/>
        <w:left w:val="none" w:sz="0" w:space="0" w:color="auto"/>
        <w:bottom w:val="none" w:sz="0" w:space="0" w:color="auto"/>
        <w:right w:val="none" w:sz="0" w:space="0" w:color="auto"/>
      </w:divBdr>
    </w:div>
    <w:div w:id="644552118">
      <w:bodyDiv w:val="1"/>
      <w:marLeft w:val="0"/>
      <w:marRight w:val="0"/>
      <w:marTop w:val="0"/>
      <w:marBottom w:val="0"/>
      <w:divBdr>
        <w:top w:val="none" w:sz="0" w:space="0" w:color="auto"/>
        <w:left w:val="none" w:sz="0" w:space="0" w:color="auto"/>
        <w:bottom w:val="none" w:sz="0" w:space="0" w:color="auto"/>
        <w:right w:val="none" w:sz="0" w:space="0" w:color="auto"/>
      </w:divBdr>
    </w:div>
    <w:div w:id="1280919124">
      <w:bodyDiv w:val="1"/>
      <w:marLeft w:val="0"/>
      <w:marRight w:val="0"/>
      <w:marTop w:val="0"/>
      <w:marBottom w:val="0"/>
      <w:divBdr>
        <w:top w:val="none" w:sz="0" w:space="0" w:color="auto"/>
        <w:left w:val="none" w:sz="0" w:space="0" w:color="auto"/>
        <w:bottom w:val="none" w:sz="0" w:space="0" w:color="auto"/>
        <w:right w:val="none" w:sz="0" w:space="0" w:color="auto"/>
      </w:divBdr>
    </w:div>
    <w:div w:id="198418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F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4a6605c3c1876c8c4c7bf4e29f5e256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3DA71-217B-4A5E-9BFA-069600576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895337-4452-4918-A68A-19552C5701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B4F9D3-9938-4581-81F2-8CD7F673C5B8}">
  <ds:schemaRefs>
    <ds:schemaRef ds:uri="http://schemas.microsoft.com/sharepoint/v3/contenttype/forms"/>
  </ds:schemaRefs>
</ds:datastoreItem>
</file>

<file path=customXml/itemProps4.xml><?xml version="1.0" encoding="utf-8"?>
<ds:datastoreItem xmlns:ds="http://schemas.openxmlformats.org/officeDocument/2006/customXml" ds:itemID="{D02B9F42-C3CF-4A26-9C77-97226F011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Template>
  <TotalTime>0</TotalTime>
  <Pages>7</Pages>
  <Words>2546</Words>
  <Characters>14514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1617031</vt:lpstr>
    </vt:vector>
  </TitlesOfParts>
  <Company>DCM</Company>
  <LinksUpToDate>false</LinksUpToDate>
  <CharactersWithSpaces>17026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1617031</dc:title>
  <dc:subject>E/C.12/59/INFORMAL/1</dc:subject>
  <dc:creator>Escalante</dc:creator>
  <dc:description>final</dc:description>
  <cp:lastModifiedBy>Sonja</cp:lastModifiedBy>
  <cp:revision>2</cp:revision>
  <cp:lastPrinted>2016-10-06T14:14:00Z</cp:lastPrinted>
  <dcterms:created xsi:type="dcterms:W3CDTF">2017-03-01T15:07:00Z</dcterms:created>
  <dcterms:modified xsi:type="dcterms:W3CDTF">2017-03-01T15:07:00Z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0x010100B5446AB3680AD04583FFC0D2A3BEC2EA</vt:lpwstr>
  </property>
</Properties>
</file>